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C386A" w14:textId="5D7238E3" w:rsidR="007A5DC0" w:rsidRPr="0098798B" w:rsidRDefault="007A5DC0" w:rsidP="009921CE">
      <w:pPr>
        <w:spacing w:before="240" w:after="120"/>
        <w:ind w:right="-45"/>
        <w:jc w:val="center"/>
        <w:rPr>
          <w:rFonts w:ascii="Calibri" w:hAnsi="Calibri" w:cs="Calibri"/>
          <w:b/>
          <w:bCs/>
        </w:rPr>
      </w:pPr>
      <w:r w:rsidRPr="0098798B">
        <w:rPr>
          <w:rFonts w:ascii="Calibri" w:hAnsi="Calibri" w:cs="Calibri"/>
          <w:b/>
          <w:bCs/>
        </w:rPr>
        <w:t>The Partner</w:t>
      </w:r>
      <w:r w:rsidR="00C66730">
        <w:rPr>
          <w:rFonts w:ascii="Calibri" w:hAnsi="Calibri" w:cs="Calibri"/>
          <w:b/>
          <w:bCs/>
        </w:rPr>
        <w:t>ship</w:t>
      </w:r>
      <w:r w:rsidRPr="0098798B">
        <w:rPr>
          <w:rFonts w:ascii="Calibri" w:hAnsi="Calibri" w:cs="Calibri"/>
          <w:b/>
          <w:bCs/>
        </w:rPr>
        <w:t xml:space="preserve"> for Maternal, Newborn </w:t>
      </w:r>
      <w:r w:rsidR="00F52212">
        <w:rPr>
          <w:rFonts w:ascii="Calibri" w:hAnsi="Calibri" w:cs="Calibri"/>
          <w:b/>
          <w:bCs/>
        </w:rPr>
        <w:t>&amp;</w:t>
      </w:r>
      <w:r w:rsidRPr="0098798B">
        <w:rPr>
          <w:rFonts w:ascii="Calibri" w:hAnsi="Calibri" w:cs="Calibri"/>
          <w:b/>
          <w:bCs/>
        </w:rPr>
        <w:t xml:space="preserve"> Child Health</w:t>
      </w:r>
    </w:p>
    <w:p w14:paraId="7C5D3B4E" w14:textId="77777777" w:rsidR="007A5DC0" w:rsidRPr="0098798B" w:rsidRDefault="00F52212" w:rsidP="009921CE">
      <w:pPr>
        <w:spacing w:after="120"/>
        <w:ind w:right="-45"/>
        <w:jc w:val="center"/>
        <w:rPr>
          <w:rFonts w:ascii="Calibri" w:hAnsi="Calibri" w:cs="Calibri"/>
          <w:b/>
          <w:bCs/>
          <w:color w:val="7030A0"/>
          <w:sz w:val="36"/>
          <w:szCs w:val="36"/>
        </w:rPr>
      </w:pPr>
      <w:r>
        <w:rPr>
          <w:rFonts w:ascii="Calibri" w:hAnsi="Calibri" w:cs="Calibri"/>
          <w:b/>
          <w:bCs/>
          <w:color w:val="7030A0"/>
          <w:sz w:val="36"/>
          <w:szCs w:val="36"/>
        </w:rPr>
        <w:t>Executive Committee</w:t>
      </w:r>
    </w:p>
    <w:p w14:paraId="1FB928D5" w14:textId="73EA68A8" w:rsidR="003D13E7" w:rsidRPr="003D13E7" w:rsidRDefault="003D13E7" w:rsidP="009921CE">
      <w:pPr>
        <w:spacing w:after="0" w:line="240" w:lineRule="auto"/>
        <w:ind w:right="34"/>
        <w:jc w:val="center"/>
        <w:outlineLvl w:val="0"/>
        <w:rPr>
          <w:rFonts w:cstheme="minorHAnsi"/>
          <w:b/>
          <w:bCs/>
          <w:i/>
          <w:sz w:val="20"/>
          <w:szCs w:val="20"/>
          <w:lang w:val="en-US"/>
        </w:rPr>
      </w:pPr>
      <w:r w:rsidRPr="003D13E7">
        <w:rPr>
          <w:rFonts w:cstheme="minorHAnsi"/>
          <w:b/>
          <w:bCs/>
          <w:i/>
          <w:sz w:val="20"/>
          <w:szCs w:val="20"/>
          <w:lang w:val="en-US"/>
        </w:rPr>
        <w:t xml:space="preserve">Executive Committee meeting: </w:t>
      </w:r>
      <w:r w:rsidR="002670AF">
        <w:rPr>
          <w:rFonts w:cstheme="minorHAnsi"/>
          <w:b/>
          <w:bCs/>
          <w:i/>
          <w:sz w:val="20"/>
          <w:szCs w:val="20"/>
          <w:lang w:val="en-US"/>
        </w:rPr>
        <w:t>Teleconference</w:t>
      </w:r>
    </w:p>
    <w:p w14:paraId="1D6032D8" w14:textId="2EF7319C" w:rsidR="003D13E7" w:rsidRPr="003D13E7" w:rsidRDefault="00CB47F4" w:rsidP="009921CE">
      <w:pPr>
        <w:spacing w:after="0" w:line="240" w:lineRule="auto"/>
        <w:ind w:right="34"/>
        <w:jc w:val="center"/>
        <w:outlineLvl w:val="0"/>
        <w:rPr>
          <w:rFonts w:cstheme="minorHAnsi"/>
          <w:b/>
          <w:bCs/>
          <w:i/>
          <w:sz w:val="20"/>
          <w:szCs w:val="20"/>
          <w:lang w:val="en-US"/>
        </w:rPr>
      </w:pPr>
      <w:r>
        <w:rPr>
          <w:rFonts w:cstheme="minorHAnsi"/>
          <w:b/>
          <w:bCs/>
          <w:i/>
          <w:sz w:val="20"/>
          <w:szCs w:val="20"/>
          <w:lang w:val="en-US"/>
        </w:rPr>
        <w:t xml:space="preserve">Tuesday </w:t>
      </w:r>
      <w:r w:rsidR="00C66730">
        <w:rPr>
          <w:rFonts w:cstheme="minorHAnsi"/>
          <w:b/>
          <w:bCs/>
          <w:i/>
          <w:sz w:val="20"/>
          <w:szCs w:val="20"/>
          <w:lang w:val="en-US"/>
        </w:rPr>
        <w:t>2</w:t>
      </w:r>
      <w:r w:rsidR="00866ACB">
        <w:rPr>
          <w:rFonts w:cstheme="minorHAnsi"/>
          <w:b/>
          <w:bCs/>
          <w:i/>
          <w:sz w:val="20"/>
          <w:szCs w:val="20"/>
          <w:lang w:val="en-US"/>
        </w:rPr>
        <w:t>4</w:t>
      </w:r>
      <w:r w:rsidR="003D13E7" w:rsidRPr="003D13E7">
        <w:rPr>
          <w:rFonts w:cstheme="minorHAnsi"/>
          <w:b/>
          <w:bCs/>
          <w:i/>
          <w:sz w:val="20"/>
          <w:szCs w:val="20"/>
          <w:lang w:val="en-US"/>
        </w:rPr>
        <w:t xml:space="preserve"> </w:t>
      </w:r>
      <w:r w:rsidR="00EE4D29">
        <w:rPr>
          <w:rFonts w:cstheme="minorHAnsi"/>
          <w:b/>
          <w:bCs/>
          <w:i/>
          <w:sz w:val="20"/>
          <w:szCs w:val="20"/>
          <w:lang w:val="en-US"/>
        </w:rPr>
        <w:t>November</w:t>
      </w:r>
      <w:bookmarkStart w:id="0" w:name="_GoBack"/>
      <w:bookmarkEnd w:id="0"/>
      <w:r w:rsidR="00C66730">
        <w:rPr>
          <w:rFonts w:cstheme="minorHAnsi"/>
          <w:b/>
          <w:bCs/>
          <w:i/>
          <w:sz w:val="20"/>
          <w:szCs w:val="20"/>
          <w:lang w:val="en-US"/>
        </w:rPr>
        <w:t xml:space="preserve"> </w:t>
      </w:r>
      <w:r w:rsidR="002670AF">
        <w:rPr>
          <w:rFonts w:cstheme="minorHAnsi"/>
          <w:b/>
          <w:bCs/>
          <w:i/>
          <w:sz w:val="20"/>
          <w:szCs w:val="20"/>
          <w:lang w:val="en-US"/>
        </w:rPr>
        <w:t>2020</w:t>
      </w:r>
      <w:r w:rsidR="003D13E7" w:rsidRPr="003D13E7">
        <w:rPr>
          <w:rFonts w:cstheme="minorHAnsi"/>
          <w:b/>
          <w:bCs/>
          <w:i/>
          <w:sz w:val="20"/>
          <w:szCs w:val="20"/>
          <w:lang w:val="en-US"/>
        </w:rPr>
        <w:t xml:space="preserve">, </w:t>
      </w:r>
      <w:r w:rsidR="002670AF">
        <w:rPr>
          <w:rFonts w:cstheme="minorHAnsi"/>
          <w:b/>
          <w:bCs/>
          <w:i/>
          <w:sz w:val="20"/>
          <w:szCs w:val="20"/>
          <w:lang w:val="en-US"/>
        </w:rPr>
        <w:t>15:00 to 1</w:t>
      </w:r>
      <w:r w:rsidR="00C66730">
        <w:rPr>
          <w:rFonts w:cstheme="minorHAnsi"/>
          <w:b/>
          <w:bCs/>
          <w:i/>
          <w:sz w:val="20"/>
          <w:szCs w:val="20"/>
          <w:lang w:val="en-US"/>
        </w:rPr>
        <w:t>7</w:t>
      </w:r>
      <w:r w:rsidR="002670AF">
        <w:rPr>
          <w:rFonts w:cstheme="minorHAnsi"/>
          <w:b/>
          <w:bCs/>
          <w:i/>
          <w:sz w:val="20"/>
          <w:szCs w:val="20"/>
          <w:lang w:val="en-US"/>
        </w:rPr>
        <w:t>:</w:t>
      </w:r>
      <w:r w:rsidR="00C66730">
        <w:rPr>
          <w:rFonts w:cstheme="minorHAnsi"/>
          <w:b/>
          <w:bCs/>
          <w:i/>
          <w:sz w:val="20"/>
          <w:szCs w:val="20"/>
          <w:lang w:val="en-US"/>
        </w:rPr>
        <w:t>0</w:t>
      </w:r>
      <w:r w:rsidR="002670AF">
        <w:rPr>
          <w:rFonts w:cstheme="minorHAnsi"/>
          <w:b/>
          <w:bCs/>
          <w:i/>
          <w:sz w:val="20"/>
          <w:szCs w:val="20"/>
          <w:lang w:val="en-US"/>
        </w:rPr>
        <w:t xml:space="preserve">0 </w:t>
      </w:r>
      <w:r w:rsidR="00084907">
        <w:rPr>
          <w:rFonts w:cstheme="minorHAnsi"/>
          <w:b/>
          <w:bCs/>
          <w:i/>
          <w:sz w:val="20"/>
          <w:szCs w:val="20"/>
          <w:lang w:val="en-US"/>
        </w:rPr>
        <w:t xml:space="preserve">CET </w:t>
      </w:r>
      <w:r w:rsidR="002670AF">
        <w:rPr>
          <w:rFonts w:cstheme="minorHAnsi"/>
          <w:b/>
          <w:bCs/>
          <w:i/>
          <w:sz w:val="20"/>
          <w:szCs w:val="20"/>
          <w:lang w:val="en-US"/>
        </w:rPr>
        <w:t>(</w:t>
      </w:r>
      <w:r w:rsidR="00C66730">
        <w:rPr>
          <w:rFonts w:cstheme="minorHAnsi"/>
          <w:b/>
          <w:bCs/>
          <w:i/>
          <w:sz w:val="20"/>
          <w:szCs w:val="20"/>
          <w:lang w:val="en-US"/>
        </w:rPr>
        <w:t>120</w:t>
      </w:r>
      <w:r w:rsidR="003D13E7" w:rsidRPr="003D13E7">
        <w:rPr>
          <w:rFonts w:cstheme="minorHAnsi"/>
          <w:b/>
          <w:bCs/>
          <w:i/>
          <w:sz w:val="20"/>
          <w:szCs w:val="20"/>
          <w:lang w:val="en-US"/>
        </w:rPr>
        <w:t xml:space="preserve"> min)</w:t>
      </w:r>
    </w:p>
    <w:p w14:paraId="0E8B5C8B" w14:textId="77777777" w:rsidR="000204AF" w:rsidRDefault="000204AF" w:rsidP="003D13E7">
      <w:pPr>
        <w:pBdr>
          <w:bottom w:val="single" w:sz="6" w:space="1" w:color="auto"/>
        </w:pBdr>
        <w:ind w:right="-45"/>
        <w:jc w:val="center"/>
        <w:rPr>
          <w:rFonts w:ascii="Calibri" w:hAnsi="Calibri" w:cs="Calibri"/>
          <w:b/>
          <w:bCs/>
          <w:smallCaps/>
          <w:color w:val="7030A0"/>
          <w:sz w:val="28"/>
          <w:szCs w:val="24"/>
        </w:rPr>
      </w:pPr>
    </w:p>
    <w:p w14:paraId="1369EC55" w14:textId="77777777" w:rsidR="007A5DC0" w:rsidRPr="00F52212" w:rsidRDefault="003833BF" w:rsidP="003D13E7">
      <w:pPr>
        <w:pBdr>
          <w:bottom w:val="single" w:sz="6" w:space="1" w:color="auto"/>
        </w:pBdr>
        <w:ind w:right="-45"/>
        <w:jc w:val="center"/>
        <w:rPr>
          <w:rFonts w:ascii="Calibri" w:hAnsi="Calibri" w:cs="Calibri"/>
          <w:b/>
          <w:bCs/>
          <w:smallCaps/>
          <w:color w:val="7030A0"/>
          <w:sz w:val="28"/>
          <w:szCs w:val="24"/>
        </w:rPr>
      </w:pPr>
      <w:r w:rsidRPr="003833BF">
        <w:rPr>
          <w:rFonts w:ascii="Calibri" w:hAnsi="Calibri" w:cs="Calibri"/>
          <w:b/>
          <w:bCs/>
          <w:smallCaps/>
          <w:color w:val="7030A0"/>
          <w:sz w:val="28"/>
          <w:szCs w:val="24"/>
          <w:u w:val="single"/>
        </w:rPr>
        <w:t>DRAFT</w:t>
      </w:r>
      <w:r>
        <w:rPr>
          <w:rFonts w:ascii="Calibri" w:hAnsi="Calibri" w:cs="Calibri"/>
          <w:b/>
          <w:bCs/>
          <w:smallCaps/>
          <w:color w:val="7030A0"/>
          <w:sz w:val="28"/>
          <w:szCs w:val="24"/>
        </w:rPr>
        <w:t xml:space="preserve"> </w:t>
      </w:r>
      <w:r w:rsidR="00F52212" w:rsidRPr="00F52212">
        <w:rPr>
          <w:rFonts w:ascii="Calibri" w:hAnsi="Calibri" w:cs="Calibri"/>
          <w:b/>
          <w:bCs/>
          <w:smallCaps/>
          <w:color w:val="7030A0"/>
          <w:sz w:val="28"/>
          <w:szCs w:val="24"/>
        </w:rPr>
        <w:t>Note for the Record</w:t>
      </w:r>
    </w:p>
    <w:p w14:paraId="6CDA5949" w14:textId="77777777" w:rsidR="00106992" w:rsidRDefault="00106992" w:rsidP="00106992">
      <w:pPr>
        <w:pBdr>
          <w:bottom w:val="single" w:sz="6" w:space="1" w:color="auto"/>
        </w:pBdr>
        <w:tabs>
          <w:tab w:val="left" w:pos="720"/>
        </w:tabs>
        <w:ind w:right="-45"/>
        <w:rPr>
          <w:rFonts w:ascii="Calibri" w:hAnsi="Calibri" w:cs="Calibri"/>
          <w:b/>
          <w:bCs/>
          <w:color w:val="7030A0"/>
        </w:rPr>
      </w:pPr>
    </w:p>
    <w:tbl>
      <w:tblPr>
        <w:tblStyle w:val="TableGrid"/>
        <w:tblW w:w="9085" w:type="dxa"/>
        <w:tblLook w:val="04A0" w:firstRow="1" w:lastRow="0" w:firstColumn="1" w:lastColumn="0" w:noHBand="0" w:noVBand="1"/>
      </w:tblPr>
      <w:tblGrid>
        <w:gridCol w:w="4765"/>
        <w:gridCol w:w="4320"/>
      </w:tblGrid>
      <w:tr w:rsidR="00106992" w14:paraId="0E07F0ED" w14:textId="77777777" w:rsidTr="00106992">
        <w:tc>
          <w:tcPr>
            <w:tcW w:w="9085" w:type="dxa"/>
            <w:gridSpan w:val="2"/>
            <w:tcBorders>
              <w:top w:val="single" w:sz="4" w:space="0" w:color="auto"/>
              <w:left w:val="single" w:sz="4" w:space="0" w:color="auto"/>
              <w:bottom w:val="single" w:sz="4" w:space="0" w:color="auto"/>
              <w:right w:val="single" w:sz="4" w:space="0" w:color="auto"/>
            </w:tcBorders>
            <w:shd w:val="clear" w:color="auto" w:fill="7030A0"/>
            <w:hideMark/>
          </w:tcPr>
          <w:p w14:paraId="0FA02714" w14:textId="77777777" w:rsidR="00106992" w:rsidRDefault="00106992">
            <w:pPr>
              <w:spacing w:before="120" w:after="120"/>
              <w:jc w:val="both"/>
              <w:rPr>
                <w:b/>
                <w:color w:val="FFFFFF" w:themeColor="background1"/>
                <w:sz w:val="20"/>
                <w:szCs w:val="20"/>
                <w:lang w:val="en-US"/>
              </w:rPr>
            </w:pPr>
            <w:r>
              <w:rPr>
                <w:b/>
                <w:color w:val="FFFFFF" w:themeColor="background1"/>
                <w:sz w:val="20"/>
                <w:szCs w:val="20"/>
                <w:lang w:val="en-US"/>
              </w:rPr>
              <w:t>Attendance</w:t>
            </w:r>
          </w:p>
        </w:tc>
      </w:tr>
      <w:tr w:rsidR="00106992" w14:paraId="397B3438" w14:textId="77777777" w:rsidTr="00106992">
        <w:trPr>
          <w:trHeight w:val="30"/>
        </w:trPr>
        <w:tc>
          <w:tcPr>
            <w:tcW w:w="4765" w:type="dxa"/>
            <w:tcBorders>
              <w:top w:val="single" w:sz="4" w:space="0" w:color="auto"/>
              <w:left w:val="single" w:sz="4" w:space="0" w:color="auto"/>
              <w:bottom w:val="single" w:sz="12" w:space="0" w:color="A5A5A5" w:themeColor="accent3"/>
              <w:right w:val="single" w:sz="4" w:space="0" w:color="auto"/>
            </w:tcBorders>
            <w:hideMark/>
          </w:tcPr>
          <w:p w14:paraId="61B27296" w14:textId="77777777" w:rsidR="00106992" w:rsidRDefault="00106992">
            <w:pPr>
              <w:pStyle w:val="NoSpacing"/>
              <w:rPr>
                <w:rFonts w:cstheme="minorHAnsi"/>
                <w:sz w:val="20"/>
                <w:szCs w:val="20"/>
              </w:rPr>
            </w:pPr>
            <w:r>
              <w:rPr>
                <w:rFonts w:cstheme="minorHAnsi"/>
                <w:sz w:val="20"/>
                <w:szCs w:val="20"/>
              </w:rPr>
              <w:t>Board Vice-Chair and EC Chair</w:t>
            </w:r>
          </w:p>
        </w:tc>
        <w:tc>
          <w:tcPr>
            <w:tcW w:w="4320" w:type="dxa"/>
            <w:tcBorders>
              <w:top w:val="single" w:sz="4" w:space="0" w:color="auto"/>
              <w:left w:val="single" w:sz="4" w:space="0" w:color="auto"/>
              <w:bottom w:val="single" w:sz="12" w:space="0" w:color="A5A5A5" w:themeColor="accent3"/>
              <w:right w:val="single" w:sz="4" w:space="0" w:color="auto"/>
            </w:tcBorders>
            <w:hideMark/>
          </w:tcPr>
          <w:p w14:paraId="15E2D111" w14:textId="77777777" w:rsidR="00106992" w:rsidRDefault="00106992">
            <w:pPr>
              <w:pStyle w:val="NoSpacing"/>
              <w:rPr>
                <w:rFonts w:cstheme="minorHAnsi"/>
                <w:sz w:val="20"/>
                <w:szCs w:val="20"/>
              </w:rPr>
            </w:pPr>
            <w:r>
              <w:rPr>
                <w:rFonts w:cstheme="minorHAnsi"/>
                <w:sz w:val="20"/>
                <w:szCs w:val="20"/>
              </w:rPr>
              <w:t xml:space="preserve">Darren Welch (needed to leave early, replaced by Meena </w:t>
            </w:r>
            <w:proofErr w:type="spellStart"/>
            <w:r>
              <w:rPr>
                <w:rFonts w:cstheme="minorHAnsi"/>
                <w:sz w:val="20"/>
                <w:szCs w:val="20"/>
              </w:rPr>
              <w:t>Ghandi</w:t>
            </w:r>
            <w:proofErr w:type="spellEnd"/>
            <w:r>
              <w:rPr>
                <w:rFonts w:cstheme="minorHAnsi"/>
                <w:sz w:val="20"/>
                <w:szCs w:val="20"/>
              </w:rPr>
              <w:t>)</w:t>
            </w:r>
          </w:p>
        </w:tc>
      </w:tr>
      <w:tr w:rsidR="00106992" w14:paraId="1F383758" w14:textId="77777777" w:rsidTr="00106992">
        <w:trPr>
          <w:trHeight w:val="30"/>
        </w:trPr>
        <w:tc>
          <w:tcPr>
            <w:tcW w:w="4765" w:type="dxa"/>
            <w:tcBorders>
              <w:top w:val="single" w:sz="12" w:space="0" w:color="A5A5A5" w:themeColor="accent3"/>
              <w:left w:val="single" w:sz="4" w:space="0" w:color="auto"/>
              <w:bottom w:val="single" w:sz="12" w:space="0" w:color="A5A5A5" w:themeColor="accent3"/>
              <w:right w:val="single" w:sz="4" w:space="0" w:color="auto"/>
            </w:tcBorders>
            <w:hideMark/>
          </w:tcPr>
          <w:p w14:paraId="468F2747" w14:textId="77777777" w:rsidR="00106992" w:rsidRDefault="00106992">
            <w:pPr>
              <w:pStyle w:val="NoSpacing"/>
              <w:rPr>
                <w:rFonts w:cstheme="minorHAnsi"/>
                <w:sz w:val="20"/>
                <w:szCs w:val="20"/>
              </w:rPr>
            </w:pPr>
            <w:r>
              <w:rPr>
                <w:rFonts w:cstheme="minorHAnsi"/>
                <w:sz w:val="20"/>
                <w:szCs w:val="20"/>
              </w:rPr>
              <w:t>Board Vice-Chair</w:t>
            </w:r>
          </w:p>
        </w:tc>
        <w:tc>
          <w:tcPr>
            <w:tcW w:w="4320" w:type="dxa"/>
            <w:tcBorders>
              <w:top w:val="single" w:sz="12" w:space="0" w:color="A5A5A5" w:themeColor="accent3"/>
              <w:left w:val="single" w:sz="4" w:space="0" w:color="auto"/>
              <w:bottom w:val="single" w:sz="12" w:space="0" w:color="A5A5A5" w:themeColor="accent3"/>
              <w:right w:val="single" w:sz="4" w:space="0" w:color="auto"/>
            </w:tcBorders>
            <w:hideMark/>
          </w:tcPr>
          <w:p w14:paraId="7CE2ADF3" w14:textId="77777777" w:rsidR="00106992" w:rsidRDefault="00106992">
            <w:pPr>
              <w:pStyle w:val="NoSpacing"/>
              <w:rPr>
                <w:rFonts w:cstheme="minorHAnsi"/>
                <w:sz w:val="20"/>
                <w:szCs w:val="20"/>
              </w:rPr>
            </w:pPr>
            <w:r>
              <w:rPr>
                <w:rFonts w:cstheme="minorHAnsi"/>
                <w:sz w:val="20"/>
                <w:szCs w:val="20"/>
              </w:rPr>
              <w:t>Rajesh Bhushan</w:t>
            </w:r>
          </w:p>
        </w:tc>
      </w:tr>
      <w:tr w:rsidR="00106992" w14:paraId="215B4E0C" w14:textId="77777777" w:rsidTr="00106992">
        <w:trPr>
          <w:trHeight w:val="30"/>
        </w:trPr>
        <w:tc>
          <w:tcPr>
            <w:tcW w:w="4765" w:type="dxa"/>
            <w:tcBorders>
              <w:top w:val="single" w:sz="12" w:space="0" w:color="A5A5A5" w:themeColor="accent3"/>
              <w:left w:val="single" w:sz="4" w:space="0" w:color="auto"/>
              <w:bottom w:val="single" w:sz="12" w:space="0" w:color="A5A5A5" w:themeColor="accent3"/>
              <w:right w:val="single" w:sz="4" w:space="0" w:color="auto"/>
            </w:tcBorders>
            <w:hideMark/>
          </w:tcPr>
          <w:p w14:paraId="4AAFEC61" w14:textId="77777777" w:rsidR="00106992" w:rsidRDefault="00106992">
            <w:pPr>
              <w:pStyle w:val="NoSpacing"/>
              <w:rPr>
                <w:rFonts w:cstheme="minorHAnsi"/>
                <w:sz w:val="20"/>
                <w:szCs w:val="20"/>
              </w:rPr>
            </w:pPr>
            <w:r>
              <w:rPr>
                <w:rFonts w:cstheme="minorHAnsi"/>
                <w:sz w:val="20"/>
                <w:szCs w:val="20"/>
              </w:rPr>
              <w:t>ART</w:t>
            </w:r>
          </w:p>
        </w:tc>
        <w:tc>
          <w:tcPr>
            <w:tcW w:w="4320" w:type="dxa"/>
            <w:tcBorders>
              <w:top w:val="single" w:sz="12" w:space="0" w:color="A5A5A5" w:themeColor="accent3"/>
              <w:left w:val="single" w:sz="4" w:space="0" w:color="auto"/>
              <w:bottom w:val="single" w:sz="12" w:space="0" w:color="A5A5A5" w:themeColor="accent3"/>
              <w:right w:val="single" w:sz="4" w:space="0" w:color="auto"/>
            </w:tcBorders>
            <w:hideMark/>
          </w:tcPr>
          <w:p w14:paraId="5A0C3508" w14:textId="11D8AAF3" w:rsidR="00106992" w:rsidRDefault="00106992">
            <w:pPr>
              <w:pStyle w:val="NoSpacing"/>
              <w:rPr>
                <w:rFonts w:cstheme="minorHAnsi"/>
                <w:sz w:val="20"/>
                <w:szCs w:val="20"/>
              </w:rPr>
            </w:pPr>
            <w:r>
              <w:rPr>
                <w:rFonts w:cstheme="minorHAnsi"/>
                <w:sz w:val="20"/>
                <w:szCs w:val="20"/>
              </w:rPr>
              <w:t>Marleen Temmerman, for Manuel Carballo</w:t>
            </w:r>
          </w:p>
        </w:tc>
      </w:tr>
      <w:tr w:rsidR="00106992" w14:paraId="67513924" w14:textId="77777777" w:rsidTr="00106992">
        <w:trPr>
          <w:trHeight w:val="30"/>
        </w:trPr>
        <w:tc>
          <w:tcPr>
            <w:tcW w:w="4765" w:type="dxa"/>
            <w:tcBorders>
              <w:top w:val="single" w:sz="12" w:space="0" w:color="A5A5A5" w:themeColor="accent3"/>
              <w:left w:val="single" w:sz="4" w:space="0" w:color="auto"/>
              <w:bottom w:val="single" w:sz="12" w:space="0" w:color="A5A5A5" w:themeColor="accent3"/>
              <w:right w:val="single" w:sz="4" w:space="0" w:color="auto"/>
            </w:tcBorders>
            <w:hideMark/>
          </w:tcPr>
          <w:p w14:paraId="46CDE98B" w14:textId="77777777" w:rsidR="00106992" w:rsidRDefault="00106992">
            <w:pPr>
              <w:pStyle w:val="NoSpacing"/>
              <w:rPr>
                <w:rFonts w:cstheme="minorHAnsi"/>
                <w:sz w:val="20"/>
                <w:szCs w:val="20"/>
              </w:rPr>
            </w:pPr>
            <w:r>
              <w:rPr>
                <w:rFonts w:cstheme="minorHAnsi"/>
                <w:sz w:val="20"/>
                <w:szCs w:val="20"/>
              </w:rPr>
              <w:t>AYC</w:t>
            </w:r>
          </w:p>
        </w:tc>
        <w:tc>
          <w:tcPr>
            <w:tcW w:w="4320" w:type="dxa"/>
            <w:tcBorders>
              <w:top w:val="single" w:sz="12" w:space="0" w:color="A5A5A5" w:themeColor="accent3"/>
              <w:left w:val="single" w:sz="4" w:space="0" w:color="auto"/>
              <w:bottom w:val="single" w:sz="12" w:space="0" w:color="A5A5A5" w:themeColor="accent3"/>
              <w:right w:val="single" w:sz="4" w:space="0" w:color="auto"/>
            </w:tcBorders>
            <w:hideMark/>
          </w:tcPr>
          <w:p w14:paraId="64854266" w14:textId="77777777" w:rsidR="00106992" w:rsidRDefault="00106992">
            <w:pPr>
              <w:pStyle w:val="NoSpacing"/>
              <w:rPr>
                <w:rFonts w:cstheme="minorHAnsi"/>
                <w:i/>
                <w:sz w:val="20"/>
                <w:szCs w:val="20"/>
              </w:rPr>
            </w:pPr>
            <w:r>
              <w:rPr>
                <w:rFonts w:cstheme="minorHAnsi"/>
                <w:i/>
                <w:sz w:val="20"/>
                <w:szCs w:val="20"/>
              </w:rPr>
              <w:t>Apologies</w:t>
            </w:r>
          </w:p>
        </w:tc>
      </w:tr>
      <w:tr w:rsidR="00106992" w14:paraId="2176D085" w14:textId="77777777" w:rsidTr="00106992">
        <w:trPr>
          <w:trHeight w:val="30"/>
        </w:trPr>
        <w:tc>
          <w:tcPr>
            <w:tcW w:w="4765" w:type="dxa"/>
            <w:tcBorders>
              <w:top w:val="single" w:sz="12" w:space="0" w:color="A5A5A5" w:themeColor="accent3"/>
              <w:left w:val="single" w:sz="4" w:space="0" w:color="auto"/>
              <w:bottom w:val="single" w:sz="12" w:space="0" w:color="A5A5A5" w:themeColor="accent3"/>
              <w:right w:val="single" w:sz="4" w:space="0" w:color="auto"/>
            </w:tcBorders>
            <w:hideMark/>
          </w:tcPr>
          <w:p w14:paraId="3209FE1C" w14:textId="77777777" w:rsidR="00106992" w:rsidRDefault="00106992">
            <w:pPr>
              <w:pStyle w:val="NoSpacing"/>
              <w:rPr>
                <w:rFonts w:cstheme="minorHAnsi"/>
                <w:sz w:val="20"/>
                <w:szCs w:val="20"/>
              </w:rPr>
            </w:pPr>
            <w:r>
              <w:rPr>
                <w:rFonts w:cstheme="minorHAnsi"/>
                <w:sz w:val="20"/>
                <w:szCs w:val="20"/>
              </w:rPr>
              <w:t>D&amp;F</w:t>
            </w:r>
          </w:p>
        </w:tc>
        <w:tc>
          <w:tcPr>
            <w:tcW w:w="4320" w:type="dxa"/>
            <w:tcBorders>
              <w:top w:val="single" w:sz="12" w:space="0" w:color="A5A5A5" w:themeColor="accent3"/>
              <w:left w:val="single" w:sz="4" w:space="0" w:color="auto"/>
              <w:bottom w:val="single" w:sz="12" w:space="0" w:color="A5A5A5" w:themeColor="accent3"/>
              <w:right w:val="single" w:sz="4" w:space="0" w:color="auto"/>
            </w:tcBorders>
            <w:hideMark/>
          </w:tcPr>
          <w:p w14:paraId="44663E74" w14:textId="77777777" w:rsidR="00106992" w:rsidRDefault="00106992">
            <w:pPr>
              <w:pStyle w:val="NoSpacing"/>
              <w:rPr>
                <w:rFonts w:cstheme="minorHAnsi"/>
                <w:sz w:val="20"/>
                <w:szCs w:val="20"/>
              </w:rPr>
            </w:pPr>
            <w:r>
              <w:rPr>
                <w:rFonts w:cstheme="minorHAnsi"/>
                <w:sz w:val="20"/>
                <w:szCs w:val="20"/>
              </w:rPr>
              <w:t xml:space="preserve">Andrea Torres </w:t>
            </w:r>
          </w:p>
        </w:tc>
      </w:tr>
      <w:tr w:rsidR="00106992" w:rsidRPr="00013C84" w14:paraId="6AC0E4D6" w14:textId="77777777" w:rsidTr="00106992">
        <w:trPr>
          <w:trHeight w:val="30"/>
        </w:trPr>
        <w:tc>
          <w:tcPr>
            <w:tcW w:w="4765" w:type="dxa"/>
            <w:tcBorders>
              <w:top w:val="single" w:sz="12" w:space="0" w:color="A5A5A5" w:themeColor="accent3"/>
              <w:left w:val="single" w:sz="4" w:space="0" w:color="auto"/>
              <w:bottom w:val="single" w:sz="12" w:space="0" w:color="A5A5A5" w:themeColor="accent3"/>
              <w:right w:val="single" w:sz="4" w:space="0" w:color="auto"/>
            </w:tcBorders>
            <w:hideMark/>
          </w:tcPr>
          <w:p w14:paraId="662A32C4" w14:textId="77777777" w:rsidR="00106992" w:rsidRDefault="00106992">
            <w:pPr>
              <w:pStyle w:val="NoSpacing"/>
              <w:rPr>
                <w:rFonts w:cstheme="minorHAnsi"/>
                <w:sz w:val="20"/>
                <w:szCs w:val="20"/>
              </w:rPr>
            </w:pPr>
            <w:r>
              <w:rPr>
                <w:rFonts w:cstheme="minorHAnsi"/>
                <w:sz w:val="20"/>
                <w:szCs w:val="20"/>
              </w:rPr>
              <w:t>GFM</w:t>
            </w:r>
          </w:p>
        </w:tc>
        <w:tc>
          <w:tcPr>
            <w:tcW w:w="4320" w:type="dxa"/>
            <w:tcBorders>
              <w:top w:val="single" w:sz="12" w:space="0" w:color="A5A5A5" w:themeColor="accent3"/>
              <w:left w:val="single" w:sz="4" w:space="0" w:color="auto"/>
              <w:bottom w:val="single" w:sz="12" w:space="0" w:color="A5A5A5" w:themeColor="accent3"/>
              <w:right w:val="single" w:sz="4" w:space="0" w:color="auto"/>
            </w:tcBorders>
            <w:hideMark/>
          </w:tcPr>
          <w:p w14:paraId="7BEA68BC" w14:textId="77777777" w:rsidR="00106992" w:rsidRPr="00013C84" w:rsidRDefault="00106992">
            <w:pPr>
              <w:pStyle w:val="NoSpacing"/>
              <w:rPr>
                <w:rFonts w:cstheme="minorHAnsi"/>
                <w:sz w:val="20"/>
                <w:szCs w:val="20"/>
                <w:lang w:val="nb-NO"/>
              </w:rPr>
            </w:pPr>
            <w:r w:rsidRPr="00013C84">
              <w:rPr>
                <w:rFonts w:cstheme="minorHAnsi"/>
                <w:sz w:val="20"/>
                <w:szCs w:val="20"/>
                <w:lang w:val="nb-NO"/>
              </w:rPr>
              <w:t>Leslie Elder, for Muhammad Pate</w:t>
            </w:r>
          </w:p>
        </w:tc>
      </w:tr>
      <w:tr w:rsidR="00106992" w14:paraId="5BB55B80" w14:textId="77777777" w:rsidTr="00106992">
        <w:trPr>
          <w:trHeight w:val="30"/>
        </w:trPr>
        <w:tc>
          <w:tcPr>
            <w:tcW w:w="4765" w:type="dxa"/>
            <w:tcBorders>
              <w:top w:val="single" w:sz="12" w:space="0" w:color="A5A5A5" w:themeColor="accent3"/>
              <w:left w:val="single" w:sz="4" w:space="0" w:color="auto"/>
              <w:bottom w:val="single" w:sz="12" w:space="0" w:color="A5A5A5" w:themeColor="accent3"/>
              <w:right w:val="single" w:sz="4" w:space="0" w:color="auto"/>
            </w:tcBorders>
            <w:hideMark/>
          </w:tcPr>
          <w:p w14:paraId="0517DF5B" w14:textId="77777777" w:rsidR="00106992" w:rsidRDefault="00106992">
            <w:pPr>
              <w:pStyle w:val="NoSpacing"/>
              <w:rPr>
                <w:rFonts w:cstheme="minorHAnsi"/>
                <w:sz w:val="20"/>
                <w:szCs w:val="20"/>
              </w:rPr>
            </w:pPr>
            <w:r>
              <w:rPr>
                <w:rFonts w:cstheme="minorHAnsi"/>
                <w:sz w:val="20"/>
                <w:szCs w:val="20"/>
              </w:rPr>
              <w:t>HCPA</w:t>
            </w:r>
          </w:p>
        </w:tc>
        <w:tc>
          <w:tcPr>
            <w:tcW w:w="4320" w:type="dxa"/>
            <w:tcBorders>
              <w:top w:val="single" w:sz="12" w:space="0" w:color="A5A5A5" w:themeColor="accent3"/>
              <w:left w:val="single" w:sz="4" w:space="0" w:color="auto"/>
              <w:bottom w:val="single" w:sz="12" w:space="0" w:color="A5A5A5" w:themeColor="accent3"/>
              <w:right w:val="single" w:sz="4" w:space="0" w:color="auto"/>
            </w:tcBorders>
            <w:hideMark/>
          </w:tcPr>
          <w:p w14:paraId="7FE051F7" w14:textId="77777777" w:rsidR="00106992" w:rsidRDefault="00106992">
            <w:pPr>
              <w:pStyle w:val="NoSpacing"/>
              <w:rPr>
                <w:rFonts w:cstheme="minorHAnsi"/>
                <w:sz w:val="20"/>
                <w:szCs w:val="20"/>
              </w:rPr>
            </w:pPr>
            <w:r>
              <w:rPr>
                <w:rFonts w:cstheme="minorHAnsi"/>
                <w:i/>
                <w:sz w:val="20"/>
                <w:szCs w:val="20"/>
              </w:rPr>
              <w:t>Apologies</w:t>
            </w:r>
          </w:p>
        </w:tc>
      </w:tr>
      <w:tr w:rsidR="00106992" w14:paraId="68F4F82A" w14:textId="77777777" w:rsidTr="00106992">
        <w:trPr>
          <w:trHeight w:val="30"/>
        </w:trPr>
        <w:tc>
          <w:tcPr>
            <w:tcW w:w="4765" w:type="dxa"/>
            <w:tcBorders>
              <w:top w:val="single" w:sz="12" w:space="0" w:color="A5A5A5" w:themeColor="accent3"/>
              <w:left w:val="single" w:sz="4" w:space="0" w:color="auto"/>
              <w:bottom w:val="single" w:sz="12" w:space="0" w:color="A5A5A5" w:themeColor="accent3"/>
              <w:right w:val="single" w:sz="4" w:space="0" w:color="auto"/>
            </w:tcBorders>
            <w:hideMark/>
          </w:tcPr>
          <w:p w14:paraId="5784378F" w14:textId="77777777" w:rsidR="00106992" w:rsidRDefault="00106992">
            <w:pPr>
              <w:pStyle w:val="NoSpacing"/>
              <w:rPr>
                <w:rFonts w:cstheme="minorHAnsi"/>
                <w:sz w:val="20"/>
                <w:szCs w:val="20"/>
              </w:rPr>
            </w:pPr>
            <w:r>
              <w:rPr>
                <w:rFonts w:cstheme="minorHAnsi"/>
                <w:sz w:val="20"/>
                <w:szCs w:val="20"/>
              </w:rPr>
              <w:t>IGO</w:t>
            </w:r>
          </w:p>
        </w:tc>
        <w:tc>
          <w:tcPr>
            <w:tcW w:w="4320" w:type="dxa"/>
            <w:tcBorders>
              <w:top w:val="single" w:sz="12" w:space="0" w:color="A5A5A5" w:themeColor="accent3"/>
              <w:left w:val="single" w:sz="4" w:space="0" w:color="auto"/>
              <w:bottom w:val="single" w:sz="12" w:space="0" w:color="A5A5A5" w:themeColor="accent3"/>
              <w:right w:val="single" w:sz="4" w:space="0" w:color="auto"/>
            </w:tcBorders>
            <w:hideMark/>
          </w:tcPr>
          <w:p w14:paraId="06543EAC" w14:textId="77777777" w:rsidR="00106992" w:rsidRDefault="00106992">
            <w:pPr>
              <w:pStyle w:val="NoSpacing"/>
              <w:rPr>
                <w:rFonts w:cstheme="minorHAnsi"/>
                <w:sz w:val="20"/>
                <w:szCs w:val="20"/>
              </w:rPr>
            </w:pPr>
            <w:r>
              <w:rPr>
                <w:rFonts w:cstheme="minorHAnsi"/>
                <w:sz w:val="20"/>
                <w:szCs w:val="20"/>
              </w:rPr>
              <w:t>Martin Chungong (needed to leave early, replaced by Aleksandra Blagojevic)</w:t>
            </w:r>
          </w:p>
        </w:tc>
      </w:tr>
      <w:tr w:rsidR="00106992" w14:paraId="73AFD650" w14:textId="77777777" w:rsidTr="00106992">
        <w:trPr>
          <w:trHeight w:val="30"/>
        </w:trPr>
        <w:tc>
          <w:tcPr>
            <w:tcW w:w="4765" w:type="dxa"/>
            <w:tcBorders>
              <w:top w:val="single" w:sz="12" w:space="0" w:color="A5A5A5" w:themeColor="accent3"/>
              <w:left w:val="single" w:sz="4" w:space="0" w:color="auto"/>
              <w:bottom w:val="single" w:sz="12" w:space="0" w:color="A5A5A5" w:themeColor="accent3"/>
              <w:right w:val="single" w:sz="4" w:space="0" w:color="auto"/>
            </w:tcBorders>
            <w:hideMark/>
          </w:tcPr>
          <w:p w14:paraId="18E15F7E" w14:textId="77777777" w:rsidR="00106992" w:rsidRDefault="00106992">
            <w:pPr>
              <w:pStyle w:val="NoSpacing"/>
              <w:rPr>
                <w:rFonts w:cstheme="minorHAnsi"/>
                <w:sz w:val="20"/>
                <w:szCs w:val="20"/>
              </w:rPr>
            </w:pPr>
            <w:r>
              <w:rPr>
                <w:rFonts w:cstheme="minorHAnsi"/>
                <w:sz w:val="20"/>
                <w:szCs w:val="20"/>
              </w:rPr>
              <w:t>NGO</w:t>
            </w:r>
          </w:p>
        </w:tc>
        <w:tc>
          <w:tcPr>
            <w:tcW w:w="4320" w:type="dxa"/>
            <w:tcBorders>
              <w:top w:val="single" w:sz="12" w:space="0" w:color="A5A5A5" w:themeColor="accent3"/>
              <w:left w:val="single" w:sz="4" w:space="0" w:color="auto"/>
              <w:bottom w:val="single" w:sz="12" w:space="0" w:color="A5A5A5" w:themeColor="accent3"/>
              <w:right w:val="single" w:sz="4" w:space="0" w:color="auto"/>
            </w:tcBorders>
            <w:hideMark/>
          </w:tcPr>
          <w:p w14:paraId="19191E65" w14:textId="77777777" w:rsidR="00106992" w:rsidRDefault="00106992">
            <w:pPr>
              <w:pStyle w:val="NoSpacing"/>
              <w:rPr>
                <w:rFonts w:cstheme="minorHAnsi"/>
                <w:sz w:val="20"/>
                <w:szCs w:val="20"/>
              </w:rPr>
            </w:pPr>
            <w:r>
              <w:rPr>
                <w:rFonts w:cstheme="minorHAnsi"/>
                <w:sz w:val="20"/>
                <w:szCs w:val="20"/>
              </w:rPr>
              <w:t>Angela Chaudhuri, for Lisa Hilmi</w:t>
            </w:r>
          </w:p>
        </w:tc>
      </w:tr>
      <w:tr w:rsidR="00106992" w14:paraId="7E1AB713" w14:textId="77777777" w:rsidTr="00106992">
        <w:trPr>
          <w:trHeight w:val="30"/>
        </w:trPr>
        <w:tc>
          <w:tcPr>
            <w:tcW w:w="4765" w:type="dxa"/>
            <w:tcBorders>
              <w:top w:val="single" w:sz="12" w:space="0" w:color="A5A5A5" w:themeColor="accent3"/>
              <w:left w:val="single" w:sz="4" w:space="0" w:color="auto"/>
              <w:bottom w:val="single" w:sz="12" w:space="0" w:color="A5A5A5" w:themeColor="accent3"/>
              <w:right w:val="single" w:sz="4" w:space="0" w:color="auto"/>
            </w:tcBorders>
            <w:hideMark/>
          </w:tcPr>
          <w:p w14:paraId="3BBDC229" w14:textId="77777777" w:rsidR="00106992" w:rsidRDefault="00106992">
            <w:pPr>
              <w:pStyle w:val="NoSpacing"/>
              <w:rPr>
                <w:rFonts w:cstheme="minorHAnsi"/>
                <w:sz w:val="20"/>
                <w:szCs w:val="20"/>
              </w:rPr>
            </w:pPr>
            <w:r>
              <w:rPr>
                <w:rFonts w:cstheme="minorHAnsi"/>
                <w:sz w:val="20"/>
                <w:szCs w:val="20"/>
              </w:rPr>
              <w:t>Partner Government</w:t>
            </w:r>
          </w:p>
        </w:tc>
        <w:tc>
          <w:tcPr>
            <w:tcW w:w="4320" w:type="dxa"/>
            <w:tcBorders>
              <w:top w:val="single" w:sz="12" w:space="0" w:color="A5A5A5" w:themeColor="accent3"/>
              <w:left w:val="single" w:sz="4" w:space="0" w:color="auto"/>
              <w:bottom w:val="single" w:sz="12" w:space="0" w:color="A5A5A5" w:themeColor="accent3"/>
              <w:right w:val="single" w:sz="4" w:space="0" w:color="auto"/>
            </w:tcBorders>
            <w:hideMark/>
          </w:tcPr>
          <w:p w14:paraId="79CE658C" w14:textId="77777777" w:rsidR="00106992" w:rsidRDefault="00106992">
            <w:pPr>
              <w:pStyle w:val="NoSpacing"/>
              <w:rPr>
                <w:rFonts w:cstheme="minorHAnsi"/>
                <w:sz w:val="20"/>
                <w:szCs w:val="20"/>
              </w:rPr>
            </w:pPr>
            <w:r>
              <w:rPr>
                <w:rFonts w:cstheme="minorHAnsi"/>
                <w:sz w:val="20"/>
                <w:szCs w:val="20"/>
              </w:rPr>
              <w:t>Vandana Gurnani, for the Government of India</w:t>
            </w:r>
          </w:p>
        </w:tc>
      </w:tr>
      <w:tr w:rsidR="00106992" w14:paraId="75B0D95E" w14:textId="77777777" w:rsidTr="00106992">
        <w:trPr>
          <w:trHeight w:val="30"/>
        </w:trPr>
        <w:tc>
          <w:tcPr>
            <w:tcW w:w="4765" w:type="dxa"/>
            <w:tcBorders>
              <w:top w:val="single" w:sz="12" w:space="0" w:color="A5A5A5" w:themeColor="accent3"/>
              <w:left w:val="single" w:sz="4" w:space="0" w:color="auto"/>
              <w:bottom w:val="single" w:sz="12" w:space="0" w:color="A5A5A5" w:themeColor="accent3"/>
              <w:right w:val="single" w:sz="4" w:space="0" w:color="auto"/>
            </w:tcBorders>
            <w:hideMark/>
          </w:tcPr>
          <w:p w14:paraId="61EE409F" w14:textId="77777777" w:rsidR="00106992" w:rsidRDefault="00106992">
            <w:pPr>
              <w:pStyle w:val="NoSpacing"/>
              <w:rPr>
                <w:rFonts w:cstheme="minorHAnsi"/>
                <w:sz w:val="20"/>
                <w:szCs w:val="20"/>
              </w:rPr>
            </w:pPr>
            <w:r>
              <w:rPr>
                <w:rFonts w:cstheme="minorHAnsi"/>
                <w:sz w:val="20"/>
                <w:szCs w:val="20"/>
              </w:rPr>
              <w:t>Private Sector</w:t>
            </w:r>
          </w:p>
        </w:tc>
        <w:tc>
          <w:tcPr>
            <w:tcW w:w="4320" w:type="dxa"/>
            <w:tcBorders>
              <w:top w:val="single" w:sz="12" w:space="0" w:color="A5A5A5" w:themeColor="accent3"/>
              <w:left w:val="single" w:sz="4" w:space="0" w:color="auto"/>
              <w:bottom w:val="single" w:sz="12" w:space="0" w:color="A5A5A5" w:themeColor="accent3"/>
              <w:right w:val="single" w:sz="4" w:space="0" w:color="auto"/>
            </w:tcBorders>
            <w:hideMark/>
          </w:tcPr>
          <w:p w14:paraId="0C32032F" w14:textId="77777777" w:rsidR="00106992" w:rsidRDefault="00106992">
            <w:pPr>
              <w:pStyle w:val="NoSpacing"/>
              <w:rPr>
                <w:rFonts w:cstheme="minorHAnsi"/>
                <w:bCs/>
                <w:i/>
                <w:sz w:val="20"/>
                <w:szCs w:val="20"/>
              </w:rPr>
            </w:pPr>
            <w:r>
              <w:rPr>
                <w:rFonts w:cstheme="minorHAnsi"/>
                <w:bCs/>
                <w:i/>
                <w:sz w:val="20"/>
                <w:szCs w:val="20"/>
              </w:rPr>
              <w:t>Apologies</w:t>
            </w:r>
          </w:p>
        </w:tc>
      </w:tr>
      <w:tr w:rsidR="00106992" w:rsidRPr="00013C84" w14:paraId="10E56992" w14:textId="77777777" w:rsidTr="00106992">
        <w:trPr>
          <w:trHeight w:val="30"/>
        </w:trPr>
        <w:tc>
          <w:tcPr>
            <w:tcW w:w="4765" w:type="dxa"/>
            <w:tcBorders>
              <w:top w:val="single" w:sz="12" w:space="0" w:color="A5A5A5" w:themeColor="accent3"/>
              <w:left w:val="single" w:sz="4" w:space="0" w:color="auto"/>
              <w:bottom w:val="single" w:sz="12" w:space="0" w:color="A5A5A5" w:themeColor="accent3"/>
              <w:right w:val="single" w:sz="4" w:space="0" w:color="auto"/>
            </w:tcBorders>
            <w:hideMark/>
          </w:tcPr>
          <w:p w14:paraId="1C8FED4D" w14:textId="77777777" w:rsidR="00106992" w:rsidRDefault="00106992">
            <w:pPr>
              <w:pStyle w:val="NoSpacing"/>
              <w:rPr>
                <w:rFonts w:cstheme="minorHAnsi"/>
                <w:sz w:val="20"/>
                <w:szCs w:val="20"/>
              </w:rPr>
            </w:pPr>
            <w:r>
              <w:rPr>
                <w:rFonts w:cstheme="minorHAnsi"/>
                <w:sz w:val="20"/>
                <w:szCs w:val="20"/>
              </w:rPr>
              <w:t>UN Agencies / WHO (host)</w:t>
            </w:r>
          </w:p>
        </w:tc>
        <w:tc>
          <w:tcPr>
            <w:tcW w:w="4320" w:type="dxa"/>
            <w:tcBorders>
              <w:top w:val="single" w:sz="12" w:space="0" w:color="A5A5A5" w:themeColor="accent3"/>
              <w:left w:val="single" w:sz="4" w:space="0" w:color="auto"/>
              <w:bottom w:val="single" w:sz="12" w:space="0" w:color="A5A5A5" w:themeColor="accent3"/>
              <w:right w:val="single" w:sz="4" w:space="0" w:color="auto"/>
            </w:tcBorders>
            <w:hideMark/>
          </w:tcPr>
          <w:p w14:paraId="588F6A14" w14:textId="5737E5D2" w:rsidR="00106992" w:rsidRPr="00013C84" w:rsidRDefault="00106992">
            <w:pPr>
              <w:pStyle w:val="NoSpacing"/>
              <w:rPr>
                <w:rFonts w:cstheme="minorHAnsi"/>
                <w:sz w:val="20"/>
                <w:szCs w:val="20"/>
                <w:lang w:val="nb-NO"/>
              </w:rPr>
            </w:pPr>
            <w:r w:rsidRPr="00013C84">
              <w:rPr>
                <w:rFonts w:cstheme="minorHAnsi"/>
                <w:sz w:val="20"/>
                <w:szCs w:val="20"/>
                <w:lang w:val="nb-NO"/>
              </w:rPr>
              <w:t>Anshu Banerjee, for Zsuz</w:t>
            </w:r>
            <w:r w:rsidR="00013C84" w:rsidRPr="00013C84">
              <w:rPr>
                <w:rFonts w:cstheme="minorHAnsi"/>
                <w:sz w:val="20"/>
                <w:szCs w:val="20"/>
                <w:lang w:val="nb-NO"/>
              </w:rPr>
              <w:t>s</w:t>
            </w:r>
            <w:r w:rsidRPr="00013C84">
              <w:rPr>
                <w:rFonts w:cstheme="minorHAnsi"/>
                <w:sz w:val="20"/>
                <w:szCs w:val="20"/>
                <w:lang w:val="nb-NO"/>
              </w:rPr>
              <w:t>anna Jakab</w:t>
            </w:r>
          </w:p>
        </w:tc>
      </w:tr>
      <w:tr w:rsidR="00106992" w14:paraId="319E9243" w14:textId="77777777" w:rsidTr="00106992">
        <w:trPr>
          <w:trHeight w:val="30"/>
        </w:trPr>
        <w:tc>
          <w:tcPr>
            <w:tcW w:w="4765" w:type="dxa"/>
            <w:tcBorders>
              <w:top w:val="single" w:sz="12" w:space="0" w:color="A5A5A5" w:themeColor="accent3"/>
              <w:left w:val="single" w:sz="4" w:space="0" w:color="auto"/>
              <w:bottom w:val="single" w:sz="12" w:space="0" w:color="A5A5A5" w:themeColor="accent3"/>
              <w:right w:val="single" w:sz="4" w:space="0" w:color="auto"/>
            </w:tcBorders>
            <w:hideMark/>
          </w:tcPr>
          <w:p w14:paraId="4C0FB385" w14:textId="77777777" w:rsidR="00106992" w:rsidRDefault="00106992">
            <w:pPr>
              <w:pStyle w:val="NoSpacing"/>
              <w:rPr>
                <w:rFonts w:cstheme="minorHAnsi"/>
                <w:sz w:val="20"/>
                <w:szCs w:val="20"/>
              </w:rPr>
            </w:pPr>
            <w:r>
              <w:rPr>
                <w:rFonts w:cstheme="minorHAnsi"/>
                <w:sz w:val="20"/>
                <w:szCs w:val="20"/>
              </w:rPr>
              <w:t>Chair of Governance &amp; Nominations Committee (GNC)</w:t>
            </w:r>
          </w:p>
        </w:tc>
        <w:tc>
          <w:tcPr>
            <w:tcW w:w="4320" w:type="dxa"/>
            <w:tcBorders>
              <w:top w:val="single" w:sz="12" w:space="0" w:color="A5A5A5" w:themeColor="accent3"/>
              <w:left w:val="single" w:sz="4" w:space="0" w:color="auto"/>
              <w:bottom w:val="single" w:sz="12" w:space="0" w:color="A5A5A5" w:themeColor="accent3"/>
              <w:right w:val="single" w:sz="4" w:space="0" w:color="auto"/>
            </w:tcBorders>
            <w:hideMark/>
          </w:tcPr>
          <w:p w14:paraId="1166D8F9" w14:textId="77777777" w:rsidR="00106992" w:rsidRDefault="00106992">
            <w:pPr>
              <w:pStyle w:val="NoSpacing"/>
              <w:rPr>
                <w:rFonts w:cstheme="minorHAnsi"/>
                <w:sz w:val="20"/>
                <w:szCs w:val="20"/>
              </w:rPr>
            </w:pPr>
            <w:r>
              <w:rPr>
                <w:rFonts w:cstheme="minorHAnsi"/>
                <w:sz w:val="20"/>
                <w:szCs w:val="20"/>
              </w:rPr>
              <w:t>Flavia Bustreo</w:t>
            </w:r>
          </w:p>
        </w:tc>
      </w:tr>
      <w:tr w:rsidR="00106992" w14:paraId="4FEABBB1" w14:textId="77777777" w:rsidTr="00106992">
        <w:trPr>
          <w:trHeight w:val="30"/>
        </w:trPr>
        <w:tc>
          <w:tcPr>
            <w:tcW w:w="4765" w:type="dxa"/>
            <w:tcBorders>
              <w:top w:val="single" w:sz="12" w:space="0" w:color="A5A5A5" w:themeColor="accent3"/>
              <w:left w:val="single" w:sz="4" w:space="0" w:color="auto"/>
              <w:bottom w:val="single" w:sz="12" w:space="0" w:color="A5A5A5" w:themeColor="accent3"/>
              <w:right w:val="single" w:sz="4" w:space="0" w:color="auto"/>
            </w:tcBorders>
            <w:hideMark/>
          </w:tcPr>
          <w:p w14:paraId="2B5DEAF5" w14:textId="77777777" w:rsidR="00106992" w:rsidRDefault="00106992">
            <w:pPr>
              <w:pStyle w:val="NoSpacing"/>
              <w:rPr>
                <w:rFonts w:cstheme="minorHAnsi"/>
                <w:sz w:val="20"/>
                <w:szCs w:val="20"/>
              </w:rPr>
            </w:pPr>
            <w:r>
              <w:rPr>
                <w:rFonts w:cstheme="minorHAnsi"/>
                <w:sz w:val="20"/>
                <w:szCs w:val="20"/>
              </w:rPr>
              <w:t>Chair of Strategy Committee</w:t>
            </w:r>
          </w:p>
        </w:tc>
        <w:tc>
          <w:tcPr>
            <w:tcW w:w="4320" w:type="dxa"/>
            <w:tcBorders>
              <w:top w:val="single" w:sz="12" w:space="0" w:color="A5A5A5" w:themeColor="accent3"/>
              <w:left w:val="single" w:sz="4" w:space="0" w:color="auto"/>
              <w:bottom w:val="single" w:sz="12" w:space="0" w:color="A5A5A5" w:themeColor="accent3"/>
              <w:right w:val="single" w:sz="4" w:space="0" w:color="auto"/>
            </w:tcBorders>
            <w:hideMark/>
          </w:tcPr>
          <w:p w14:paraId="4D0B91F1" w14:textId="77777777" w:rsidR="00106992" w:rsidRDefault="00106992">
            <w:pPr>
              <w:pStyle w:val="NoSpacing"/>
              <w:rPr>
                <w:rFonts w:cstheme="minorHAnsi"/>
                <w:sz w:val="20"/>
                <w:szCs w:val="20"/>
              </w:rPr>
            </w:pPr>
            <w:r>
              <w:rPr>
                <w:rFonts w:cstheme="minorHAnsi"/>
                <w:sz w:val="20"/>
                <w:szCs w:val="20"/>
              </w:rPr>
              <w:t>Anuradha Gupta</w:t>
            </w:r>
          </w:p>
        </w:tc>
      </w:tr>
      <w:tr w:rsidR="00106992" w14:paraId="62941762" w14:textId="77777777" w:rsidTr="00106992">
        <w:trPr>
          <w:trHeight w:val="96"/>
        </w:trPr>
        <w:tc>
          <w:tcPr>
            <w:tcW w:w="9085" w:type="dxa"/>
            <w:gridSpan w:val="2"/>
            <w:tcBorders>
              <w:top w:val="single" w:sz="4" w:space="0" w:color="auto"/>
              <w:left w:val="single" w:sz="4" w:space="0" w:color="auto"/>
              <w:bottom w:val="single" w:sz="4" w:space="0" w:color="auto"/>
              <w:right w:val="single" w:sz="4" w:space="0" w:color="auto"/>
            </w:tcBorders>
            <w:hideMark/>
          </w:tcPr>
          <w:p w14:paraId="7B2F59C7" w14:textId="77777777" w:rsidR="00106992" w:rsidRDefault="00106992">
            <w:pPr>
              <w:pStyle w:val="NoSpacing"/>
              <w:rPr>
                <w:rFonts w:cstheme="minorHAnsi"/>
                <w:b/>
                <w:sz w:val="20"/>
                <w:szCs w:val="20"/>
              </w:rPr>
            </w:pPr>
            <w:r>
              <w:rPr>
                <w:rFonts w:cstheme="minorHAnsi"/>
                <w:b/>
                <w:sz w:val="20"/>
                <w:szCs w:val="20"/>
              </w:rPr>
              <w:t xml:space="preserve">Apologies: </w:t>
            </w:r>
            <w:r>
              <w:rPr>
                <w:rFonts w:cstheme="minorHAnsi"/>
                <w:sz w:val="20"/>
                <w:szCs w:val="20"/>
              </w:rPr>
              <w:t>Gogontlejang Phaladi (ART), Franka Cadee (HCPAs), Mary-Ann Etiebet (PS)</w:t>
            </w:r>
          </w:p>
        </w:tc>
      </w:tr>
      <w:tr w:rsidR="00106992" w14:paraId="36F87891" w14:textId="77777777" w:rsidTr="00106992">
        <w:trPr>
          <w:trHeight w:val="96"/>
        </w:trPr>
        <w:tc>
          <w:tcPr>
            <w:tcW w:w="9085" w:type="dxa"/>
            <w:gridSpan w:val="2"/>
            <w:tcBorders>
              <w:top w:val="single" w:sz="4" w:space="0" w:color="auto"/>
              <w:left w:val="single" w:sz="4" w:space="0" w:color="auto"/>
              <w:bottom w:val="single" w:sz="4" w:space="0" w:color="auto"/>
              <w:right w:val="single" w:sz="4" w:space="0" w:color="auto"/>
            </w:tcBorders>
            <w:hideMark/>
          </w:tcPr>
          <w:p w14:paraId="6652009D" w14:textId="77777777" w:rsidR="00106992" w:rsidRDefault="00106992">
            <w:pPr>
              <w:pStyle w:val="NoSpacing"/>
              <w:rPr>
                <w:rFonts w:cstheme="minorHAnsi"/>
                <w:b/>
                <w:sz w:val="20"/>
                <w:szCs w:val="20"/>
              </w:rPr>
            </w:pPr>
            <w:r>
              <w:rPr>
                <w:rFonts w:cstheme="minorHAnsi"/>
                <w:b/>
                <w:sz w:val="20"/>
                <w:szCs w:val="20"/>
              </w:rPr>
              <w:t xml:space="preserve">Invited speakers: </w:t>
            </w:r>
          </w:p>
          <w:p w14:paraId="72EE6418" w14:textId="77777777" w:rsidR="00106992" w:rsidRDefault="00106992" w:rsidP="00106992">
            <w:pPr>
              <w:pStyle w:val="NoSpacing"/>
              <w:numPr>
                <w:ilvl w:val="0"/>
                <w:numId w:val="35"/>
              </w:numPr>
              <w:rPr>
                <w:rFonts w:cstheme="minorHAnsi"/>
                <w:sz w:val="20"/>
                <w:szCs w:val="20"/>
              </w:rPr>
            </w:pPr>
            <w:r>
              <w:rPr>
                <w:rFonts w:cstheme="minorHAnsi"/>
                <w:sz w:val="20"/>
                <w:szCs w:val="20"/>
              </w:rPr>
              <w:t>Dorothy Shaw, GNC vice-Chair.</w:t>
            </w:r>
          </w:p>
          <w:p w14:paraId="3E82DD7C" w14:textId="77777777" w:rsidR="00106992" w:rsidRDefault="00106992" w:rsidP="00106992">
            <w:pPr>
              <w:pStyle w:val="NoSpacing"/>
              <w:numPr>
                <w:ilvl w:val="0"/>
                <w:numId w:val="35"/>
              </w:numPr>
              <w:rPr>
                <w:rFonts w:cstheme="minorHAnsi"/>
                <w:b/>
                <w:sz w:val="20"/>
                <w:szCs w:val="20"/>
              </w:rPr>
            </w:pPr>
            <w:r>
              <w:rPr>
                <w:rFonts w:cstheme="minorHAnsi"/>
                <w:sz w:val="20"/>
                <w:szCs w:val="20"/>
              </w:rPr>
              <w:t>Desmond Nji, Lars Grønseth, and Kristy Kade, co-chairs of the Advocacy working group.</w:t>
            </w:r>
          </w:p>
          <w:p w14:paraId="3D77C61F" w14:textId="77777777" w:rsidR="00106992" w:rsidRDefault="00106992" w:rsidP="00106992">
            <w:pPr>
              <w:pStyle w:val="NoSpacing"/>
              <w:numPr>
                <w:ilvl w:val="0"/>
                <w:numId w:val="35"/>
              </w:numPr>
              <w:rPr>
                <w:rFonts w:cstheme="minorHAnsi"/>
                <w:sz w:val="20"/>
                <w:szCs w:val="20"/>
              </w:rPr>
            </w:pPr>
            <w:r>
              <w:rPr>
                <w:rFonts w:cstheme="minorHAnsi"/>
                <w:sz w:val="20"/>
                <w:szCs w:val="20"/>
              </w:rPr>
              <w:t>Anthony Lopez and Sujatha Shankar Kumar, Lopez Design</w:t>
            </w:r>
          </w:p>
        </w:tc>
      </w:tr>
      <w:tr w:rsidR="00106992" w14:paraId="37E9B18F" w14:textId="77777777" w:rsidTr="00106992">
        <w:trPr>
          <w:trHeight w:val="96"/>
        </w:trPr>
        <w:tc>
          <w:tcPr>
            <w:tcW w:w="9085" w:type="dxa"/>
            <w:gridSpan w:val="2"/>
            <w:tcBorders>
              <w:top w:val="single" w:sz="4" w:space="0" w:color="auto"/>
              <w:left w:val="single" w:sz="4" w:space="0" w:color="auto"/>
              <w:bottom w:val="single" w:sz="4" w:space="0" w:color="auto"/>
              <w:right w:val="single" w:sz="4" w:space="0" w:color="auto"/>
            </w:tcBorders>
            <w:hideMark/>
          </w:tcPr>
          <w:p w14:paraId="75361C54" w14:textId="77777777" w:rsidR="00106992" w:rsidRDefault="00106992">
            <w:pPr>
              <w:pStyle w:val="NoSpacing"/>
              <w:rPr>
                <w:sz w:val="20"/>
                <w:szCs w:val="20"/>
              </w:rPr>
            </w:pPr>
            <w:r>
              <w:rPr>
                <w:b/>
                <w:bCs/>
                <w:sz w:val="20"/>
                <w:szCs w:val="20"/>
              </w:rPr>
              <w:t>Observers:</w:t>
            </w:r>
            <w:r>
              <w:rPr>
                <w:sz w:val="20"/>
                <w:szCs w:val="20"/>
              </w:rPr>
              <w:t xml:space="preserve"> Peter Colenso; Susan Clapham; Gaurav Garg.</w:t>
            </w:r>
          </w:p>
        </w:tc>
      </w:tr>
      <w:tr w:rsidR="00106992" w14:paraId="0B714E20" w14:textId="77777777" w:rsidTr="00106992">
        <w:trPr>
          <w:trHeight w:val="60"/>
        </w:trPr>
        <w:tc>
          <w:tcPr>
            <w:tcW w:w="9085" w:type="dxa"/>
            <w:gridSpan w:val="2"/>
            <w:tcBorders>
              <w:top w:val="single" w:sz="4" w:space="0" w:color="auto"/>
              <w:left w:val="single" w:sz="4" w:space="0" w:color="auto"/>
              <w:bottom w:val="single" w:sz="4" w:space="0" w:color="auto"/>
              <w:right w:val="single" w:sz="4" w:space="0" w:color="auto"/>
            </w:tcBorders>
            <w:hideMark/>
          </w:tcPr>
          <w:p w14:paraId="1B4D9C49" w14:textId="77777777" w:rsidR="00106992" w:rsidRDefault="00106992">
            <w:pPr>
              <w:pStyle w:val="NoSpacing"/>
              <w:rPr>
                <w:rFonts w:cstheme="minorHAnsi"/>
                <w:b/>
                <w:sz w:val="20"/>
                <w:szCs w:val="20"/>
              </w:rPr>
            </w:pPr>
            <w:r>
              <w:rPr>
                <w:rFonts w:cstheme="minorHAnsi"/>
                <w:b/>
                <w:sz w:val="20"/>
                <w:szCs w:val="20"/>
              </w:rPr>
              <w:t xml:space="preserve">Secretariat: </w:t>
            </w:r>
            <w:r>
              <w:rPr>
                <w:rFonts w:cstheme="minorHAnsi"/>
                <w:sz w:val="20"/>
                <w:szCs w:val="20"/>
              </w:rPr>
              <w:t>Helga Fogstad; Lori McDougall; Nebojsa Novcic; Dina El Husseiny; Etienne Langlois.</w:t>
            </w:r>
          </w:p>
        </w:tc>
      </w:tr>
    </w:tbl>
    <w:p w14:paraId="14CEDE8B" w14:textId="77777777" w:rsidR="00106992" w:rsidRDefault="00106992" w:rsidP="00106992">
      <w:pPr>
        <w:spacing w:before="360" w:after="360" w:line="240" w:lineRule="auto"/>
        <w:jc w:val="both"/>
        <w:rPr>
          <w:rFonts w:ascii="Calibri" w:hAnsi="Calibri" w:cs="Calibri"/>
          <w:b/>
          <w:bCs/>
          <w:smallCaps/>
          <w:color w:val="7030A0"/>
          <w:sz w:val="28"/>
          <w:szCs w:val="24"/>
        </w:rPr>
      </w:pPr>
    </w:p>
    <w:p w14:paraId="5F3C47D2" w14:textId="77777777" w:rsidR="00106992" w:rsidRDefault="00106992" w:rsidP="00106992">
      <w:pPr>
        <w:rPr>
          <w:rFonts w:ascii="Calibri" w:hAnsi="Calibri" w:cs="Calibri"/>
          <w:b/>
          <w:bCs/>
          <w:smallCaps/>
          <w:color w:val="7030A0"/>
          <w:sz w:val="28"/>
          <w:szCs w:val="24"/>
        </w:rPr>
      </w:pPr>
      <w:r>
        <w:rPr>
          <w:rFonts w:ascii="Calibri" w:hAnsi="Calibri" w:cs="Calibri"/>
          <w:b/>
          <w:bCs/>
          <w:smallCaps/>
          <w:color w:val="7030A0"/>
          <w:sz w:val="28"/>
          <w:szCs w:val="24"/>
        </w:rPr>
        <w:br w:type="page"/>
      </w:r>
    </w:p>
    <w:p w14:paraId="269C2E83" w14:textId="77777777" w:rsidR="00106992" w:rsidRDefault="00106992" w:rsidP="00106992">
      <w:pPr>
        <w:spacing w:before="360" w:after="360" w:line="240" w:lineRule="auto"/>
        <w:jc w:val="both"/>
        <w:rPr>
          <w:rFonts w:ascii="Calibri" w:hAnsi="Calibri" w:cs="Calibri"/>
          <w:b/>
          <w:bCs/>
          <w:smallCaps/>
          <w:color w:val="7030A0"/>
          <w:sz w:val="28"/>
          <w:szCs w:val="24"/>
        </w:rPr>
      </w:pPr>
      <w:r>
        <w:rPr>
          <w:rFonts w:ascii="Calibri" w:hAnsi="Calibri" w:cs="Calibri"/>
          <w:b/>
          <w:bCs/>
          <w:smallCaps/>
          <w:color w:val="7030A0"/>
          <w:sz w:val="28"/>
          <w:szCs w:val="24"/>
        </w:rPr>
        <w:lastRenderedPageBreak/>
        <w:t>Summary of decisions</w:t>
      </w:r>
    </w:p>
    <w:p w14:paraId="50B12EA8" w14:textId="77777777" w:rsidR="00106992" w:rsidRDefault="00106992" w:rsidP="00106992">
      <w:pPr>
        <w:spacing w:before="360" w:after="360" w:line="240" w:lineRule="auto"/>
        <w:jc w:val="both"/>
        <w:rPr>
          <w:b/>
          <w:color w:val="7030A0"/>
          <w:lang w:val="en-US"/>
        </w:rPr>
      </w:pPr>
      <w:r>
        <w:rPr>
          <w:b/>
          <w:color w:val="7030A0"/>
          <w:lang w:val="en-US"/>
        </w:rPr>
        <w:t>ITEM 1 – Adoption of the Agenda and Note for the Record from previous meeting</w:t>
      </w:r>
    </w:p>
    <w:tbl>
      <w:tblPr>
        <w:tblStyle w:val="TableGrid"/>
        <w:tblW w:w="0" w:type="auto"/>
        <w:tblLook w:val="04A0" w:firstRow="1" w:lastRow="0" w:firstColumn="1" w:lastColumn="0" w:noHBand="0" w:noVBand="1"/>
      </w:tblPr>
      <w:tblGrid>
        <w:gridCol w:w="822"/>
        <w:gridCol w:w="6315"/>
        <w:gridCol w:w="1879"/>
      </w:tblGrid>
      <w:tr w:rsidR="00106992" w14:paraId="0B61CADA" w14:textId="77777777" w:rsidTr="00106992">
        <w:trPr>
          <w:trHeight w:val="60"/>
        </w:trPr>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7BF6B" w14:textId="77777777" w:rsidR="00106992" w:rsidRDefault="00106992">
            <w:pPr>
              <w:spacing w:before="120" w:after="120"/>
              <w:rPr>
                <w:b/>
                <w:sz w:val="20"/>
                <w:szCs w:val="20"/>
                <w:lang w:val="en-US"/>
              </w:rPr>
            </w:pPr>
          </w:p>
        </w:tc>
        <w:tc>
          <w:tcPr>
            <w:tcW w:w="6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7444A" w14:textId="77777777" w:rsidR="00106992" w:rsidRDefault="00106992">
            <w:pPr>
              <w:spacing w:before="120" w:after="120"/>
              <w:rPr>
                <w:b/>
                <w:sz w:val="20"/>
                <w:szCs w:val="20"/>
                <w:lang w:val="en-US"/>
              </w:rPr>
            </w:pPr>
            <w:r>
              <w:rPr>
                <w:b/>
                <w:sz w:val="20"/>
                <w:szCs w:val="20"/>
                <w:lang w:val="en-US"/>
              </w:rPr>
              <w:t>Decision / Action</w:t>
            </w:r>
          </w:p>
        </w:tc>
        <w:tc>
          <w:tcPr>
            <w:tcW w:w="1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E38B3F" w14:textId="77777777" w:rsidR="00106992" w:rsidRDefault="00106992">
            <w:pPr>
              <w:spacing w:before="120" w:after="120"/>
              <w:rPr>
                <w:b/>
                <w:sz w:val="20"/>
                <w:szCs w:val="20"/>
                <w:lang w:val="en-US"/>
              </w:rPr>
            </w:pPr>
            <w:r>
              <w:rPr>
                <w:b/>
                <w:sz w:val="20"/>
                <w:szCs w:val="20"/>
                <w:lang w:val="en-US"/>
              </w:rPr>
              <w:t>Responsibility</w:t>
            </w:r>
          </w:p>
        </w:tc>
      </w:tr>
      <w:tr w:rsidR="00106992" w14:paraId="2B007416" w14:textId="77777777" w:rsidTr="00106992">
        <w:tc>
          <w:tcPr>
            <w:tcW w:w="822" w:type="dxa"/>
            <w:tcBorders>
              <w:top w:val="single" w:sz="4" w:space="0" w:color="auto"/>
              <w:left w:val="single" w:sz="4" w:space="0" w:color="auto"/>
              <w:bottom w:val="single" w:sz="4" w:space="0" w:color="auto"/>
              <w:right w:val="single" w:sz="4" w:space="0" w:color="auto"/>
            </w:tcBorders>
            <w:vAlign w:val="center"/>
            <w:hideMark/>
          </w:tcPr>
          <w:p w14:paraId="41AFD44D" w14:textId="77777777" w:rsidR="00106992" w:rsidRDefault="00106992">
            <w:pPr>
              <w:spacing w:before="120" w:after="120"/>
              <w:rPr>
                <w:sz w:val="20"/>
                <w:szCs w:val="20"/>
                <w:lang w:val="en-US"/>
              </w:rPr>
            </w:pPr>
            <w:r>
              <w:rPr>
                <w:sz w:val="20"/>
                <w:szCs w:val="20"/>
                <w:lang w:val="en-US"/>
              </w:rPr>
              <w:t>1.1</w:t>
            </w:r>
          </w:p>
        </w:tc>
        <w:tc>
          <w:tcPr>
            <w:tcW w:w="6315" w:type="dxa"/>
            <w:tcBorders>
              <w:top w:val="single" w:sz="4" w:space="0" w:color="auto"/>
              <w:left w:val="single" w:sz="4" w:space="0" w:color="auto"/>
              <w:bottom w:val="single" w:sz="4" w:space="0" w:color="auto"/>
              <w:right w:val="single" w:sz="4" w:space="0" w:color="auto"/>
            </w:tcBorders>
            <w:vAlign w:val="center"/>
            <w:hideMark/>
          </w:tcPr>
          <w:p w14:paraId="11707647" w14:textId="77777777" w:rsidR="00106992" w:rsidRDefault="00106992">
            <w:pPr>
              <w:spacing w:before="120" w:after="120"/>
              <w:rPr>
                <w:sz w:val="20"/>
                <w:szCs w:val="20"/>
                <w:lang w:val="en-US"/>
              </w:rPr>
            </w:pPr>
            <w:r>
              <w:rPr>
                <w:sz w:val="20"/>
                <w:szCs w:val="20"/>
                <w:lang w:val="en-US"/>
              </w:rPr>
              <w:t>All constituencies represented on the call and thus quorum achieved.</w:t>
            </w:r>
          </w:p>
        </w:tc>
        <w:tc>
          <w:tcPr>
            <w:tcW w:w="1879" w:type="dxa"/>
            <w:tcBorders>
              <w:top w:val="single" w:sz="4" w:space="0" w:color="auto"/>
              <w:left w:val="single" w:sz="4" w:space="0" w:color="auto"/>
              <w:bottom w:val="single" w:sz="4" w:space="0" w:color="auto"/>
              <w:right w:val="single" w:sz="4" w:space="0" w:color="auto"/>
            </w:tcBorders>
            <w:vAlign w:val="center"/>
            <w:hideMark/>
          </w:tcPr>
          <w:p w14:paraId="22762F47" w14:textId="77777777" w:rsidR="00106992" w:rsidRDefault="00106992">
            <w:pPr>
              <w:spacing w:before="120" w:after="120"/>
              <w:rPr>
                <w:sz w:val="20"/>
                <w:szCs w:val="20"/>
                <w:lang w:val="en-US"/>
              </w:rPr>
            </w:pPr>
            <w:r>
              <w:rPr>
                <w:sz w:val="20"/>
                <w:szCs w:val="20"/>
                <w:lang w:val="en-US"/>
              </w:rPr>
              <w:t>n/a</w:t>
            </w:r>
          </w:p>
        </w:tc>
      </w:tr>
      <w:tr w:rsidR="00106992" w14:paraId="2DDB0972" w14:textId="77777777" w:rsidTr="00106992">
        <w:tc>
          <w:tcPr>
            <w:tcW w:w="822" w:type="dxa"/>
            <w:tcBorders>
              <w:top w:val="single" w:sz="4" w:space="0" w:color="auto"/>
              <w:left w:val="single" w:sz="4" w:space="0" w:color="auto"/>
              <w:bottom w:val="single" w:sz="4" w:space="0" w:color="auto"/>
              <w:right w:val="single" w:sz="4" w:space="0" w:color="auto"/>
            </w:tcBorders>
            <w:vAlign w:val="center"/>
            <w:hideMark/>
          </w:tcPr>
          <w:p w14:paraId="4B7239CC" w14:textId="77777777" w:rsidR="00106992" w:rsidRDefault="00106992">
            <w:pPr>
              <w:spacing w:before="120" w:after="120"/>
              <w:rPr>
                <w:sz w:val="20"/>
                <w:szCs w:val="20"/>
                <w:lang w:val="en-US"/>
              </w:rPr>
            </w:pPr>
            <w:r>
              <w:rPr>
                <w:sz w:val="20"/>
                <w:szCs w:val="20"/>
                <w:lang w:val="en-US"/>
              </w:rPr>
              <w:t>1.2</w:t>
            </w:r>
          </w:p>
        </w:tc>
        <w:tc>
          <w:tcPr>
            <w:tcW w:w="6315" w:type="dxa"/>
            <w:tcBorders>
              <w:top w:val="single" w:sz="4" w:space="0" w:color="auto"/>
              <w:left w:val="single" w:sz="4" w:space="0" w:color="auto"/>
              <w:bottom w:val="single" w:sz="4" w:space="0" w:color="auto"/>
              <w:right w:val="single" w:sz="4" w:space="0" w:color="auto"/>
            </w:tcBorders>
            <w:vAlign w:val="center"/>
            <w:hideMark/>
          </w:tcPr>
          <w:p w14:paraId="78201DB9" w14:textId="77777777" w:rsidR="00106992" w:rsidRDefault="00106992">
            <w:pPr>
              <w:spacing w:before="120" w:after="120"/>
              <w:rPr>
                <w:sz w:val="20"/>
                <w:szCs w:val="20"/>
                <w:lang w:val="en-US"/>
              </w:rPr>
            </w:pPr>
            <w:r>
              <w:rPr>
                <w:sz w:val="20"/>
                <w:szCs w:val="20"/>
                <w:lang w:val="en-US"/>
              </w:rPr>
              <w:t xml:space="preserve">EC </w:t>
            </w:r>
            <w:proofErr w:type="spellStart"/>
            <w:r>
              <w:rPr>
                <w:sz w:val="20"/>
                <w:szCs w:val="20"/>
                <w:lang w:val="en-US"/>
              </w:rPr>
              <w:t>NfR</w:t>
            </w:r>
            <w:proofErr w:type="spellEnd"/>
            <w:r>
              <w:rPr>
                <w:sz w:val="20"/>
                <w:szCs w:val="20"/>
                <w:lang w:val="en-US"/>
              </w:rPr>
              <w:t xml:space="preserve"> and monitoring of actions document adopted, as related to 10 June 2020 meeting.</w:t>
            </w:r>
          </w:p>
        </w:tc>
        <w:tc>
          <w:tcPr>
            <w:tcW w:w="1879" w:type="dxa"/>
            <w:tcBorders>
              <w:top w:val="single" w:sz="4" w:space="0" w:color="auto"/>
              <w:left w:val="single" w:sz="4" w:space="0" w:color="auto"/>
              <w:bottom w:val="single" w:sz="4" w:space="0" w:color="auto"/>
              <w:right w:val="single" w:sz="4" w:space="0" w:color="auto"/>
            </w:tcBorders>
            <w:vAlign w:val="center"/>
            <w:hideMark/>
          </w:tcPr>
          <w:p w14:paraId="03214184" w14:textId="77777777" w:rsidR="00106992" w:rsidRDefault="00106992">
            <w:pPr>
              <w:spacing w:before="120" w:after="120"/>
              <w:rPr>
                <w:sz w:val="20"/>
                <w:szCs w:val="20"/>
                <w:lang w:val="en-US"/>
              </w:rPr>
            </w:pPr>
            <w:r>
              <w:rPr>
                <w:sz w:val="20"/>
                <w:szCs w:val="20"/>
                <w:lang w:val="en-US"/>
              </w:rPr>
              <w:t>n/a</w:t>
            </w:r>
          </w:p>
        </w:tc>
      </w:tr>
    </w:tbl>
    <w:p w14:paraId="47061F80" w14:textId="77777777" w:rsidR="00106992" w:rsidRDefault="00106992" w:rsidP="00106992">
      <w:pPr>
        <w:spacing w:before="360" w:after="360" w:line="240" w:lineRule="auto"/>
        <w:jc w:val="both"/>
        <w:rPr>
          <w:b/>
          <w:color w:val="7030A0"/>
          <w:lang w:val="en-US"/>
        </w:rPr>
      </w:pPr>
      <w:r>
        <w:rPr>
          <w:b/>
          <w:color w:val="7030A0"/>
          <w:lang w:val="en-US"/>
        </w:rPr>
        <w:t>ITEM 2 – Governance Reform, Partner Engagement and Digital Action Plan</w:t>
      </w:r>
    </w:p>
    <w:tbl>
      <w:tblPr>
        <w:tblStyle w:val="TableGrid"/>
        <w:tblW w:w="0" w:type="auto"/>
        <w:tblLook w:val="04A0" w:firstRow="1" w:lastRow="0" w:firstColumn="1" w:lastColumn="0" w:noHBand="0" w:noVBand="1"/>
      </w:tblPr>
      <w:tblGrid>
        <w:gridCol w:w="562"/>
        <w:gridCol w:w="6543"/>
        <w:gridCol w:w="1911"/>
      </w:tblGrid>
      <w:tr w:rsidR="00106992" w14:paraId="248643CE" w14:textId="77777777" w:rsidTr="00106992">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F34E1C" w14:textId="77777777" w:rsidR="00106992" w:rsidRDefault="00106992">
            <w:pPr>
              <w:spacing w:before="120" w:after="120"/>
              <w:jc w:val="both"/>
              <w:rPr>
                <w:b/>
                <w:sz w:val="20"/>
                <w:szCs w:val="20"/>
                <w:lang w:val="en-US"/>
              </w:rPr>
            </w:pPr>
            <w:r>
              <w:rPr>
                <w:b/>
                <w:bCs/>
                <w:sz w:val="20"/>
                <w:szCs w:val="20"/>
              </w:rPr>
              <w:t> </w:t>
            </w:r>
          </w:p>
        </w:tc>
        <w:tc>
          <w:tcPr>
            <w:tcW w:w="6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08757F" w14:textId="77777777" w:rsidR="00106992" w:rsidRDefault="00106992">
            <w:pPr>
              <w:spacing w:before="120" w:after="120"/>
              <w:jc w:val="both"/>
              <w:rPr>
                <w:b/>
                <w:sz w:val="20"/>
                <w:szCs w:val="20"/>
                <w:lang w:val="en-US"/>
              </w:rPr>
            </w:pPr>
            <w:r>
              <w:rPr>
                <w:b/>
                <w:bCs/>
                <w:color w:val="000000"/>
                <w:sz w:val="20"/>
                <w:szCs w:val="20"/>
              </w:rPr>
              <w:t>Decision / Action</w:t>
            </w:r>
          </w:p>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03D23" w14:textId="77777777" w:rsidR="00106992" w:rsidRDefault="00106992">
            <w:pPr>
              <w:spacing w:before="120" w:after="120"/>
              <w:jc w:val="both"/>
              <w:rPr>
                <w:b/>
                <w:sz w:val="20"/>
                <w:szCs w:val="20"/>
                <w:lang w:val="en-US"/>
              </w:rPr>
            </w:pPr>
            <w:r>
              <w:rPr>
                <w:b/>
                <w:bCs/>
                <w:color w:val="000000"/>
                <w:sz w:val="20"/>
                <w:szCs w:val="20"/>
              </w:rPr>
              <w:t>Responsibility</w:t>
            </w:r>
          </w:p>
        </w:tc>
      </w:tr>
      <w:tr w:rsidR="00106992" w14:paraId="05E932B4" w14:textId="77777777" w:rsidTr="00106992">
        <w:tc>
          <w:tcPr>
            <w:tcW w:w="562" w:type="dxa"/>
            <w:tcBorders>
              <w:top w:val="single" w:sz="4" w:space="0" w:color="auto"/>
              <w:left w:val="single" w:sz="4" w:space="0" w:color="auto"/>
              <w:bottom w:val="single" w:sz="4" w:space="0" w:color="auto"/>
              <w:right w:val="single" w:sz="4" w:space="0" w:color="auto"/>
            </w:tcBorders>
            <w:hideMark/>
          </w:tcPr>
          <w:p w14:paraId="4DE3F261" w14:textId="77777777" w:rsidR="00106992" w:rsidRDefault="00106992">
            <w:pPr>
              <w:spacing w:before="60" w:after="60"/>
              <w:jc w:val="both"/>
              <w:rPr>
                <w:sz w:val="20"/>
                <w:szCs w:val="20"/>
                <w:lang w:val="en-US"/>
              </w:rPr>
            </w:pPr>
            <w:r>
              <w:rPr>
                <w:sz w:val="20"/>
                <w:szCs w:val="20"/>
              </w:rPr>
              <w:t>2.1</w:t>
            </w:r>
          </w:p>
        </w:tc>
        <w:tc>
          <w:tcPr>
            <w:tcW w:w="6543" w:type="dxa"/>
            <w:tcBorders>
              <w:top w:val="single" w:sz="4" w:space="0" w:color="auto"/>
              <w:left w:val="single" w:sz="4" w:space="0" w:color="auto"/>
              <w:bottom w:val="single" w:sz="4" w:space="0" w:color="auto"/>
              <w:right w:val="single" w:sz="4" w:space="0" w:color="auto"/>
            </w:tcBorders>
            <w:hideMark/>
          </w:tcPr>
          <w:p w14:paraId="3CD64416" w14:textId="77777777" w:rsidR="00106992" w:rsidRDefault="00106992">
            <w:pPr>
              <w:spacing w:before="60" w:after="60"/>
              <w:jc w:val="both"/>
              <w:rPr>
                <w:sz w:val="20"/>
                <w:szCs w:val="20"/>
                <w:lang w:val="en-US"/>
              </w:rPr>
            </w:pPr>
            <w:r>
              <w:rPr>
                <w:sz w:val="20"/>
                <w:szCs w:val="20"/>
              </w:rPr>
              <w:t xml:space="preserve">Agreement that the presented solutions are an excellent opportunity to build partnerships across communities through the proposed Communities of Practice mechanism, with governance processes being supportive of this overall approach.  </w:t>
            </w:r>
          </w:p>
        </w:tc>
        <w:tc>
          <w:tcPr>
            <w:tcW w:w="1911" w:type="dxa"/>
            <w:tcBorders>
              <w:top w:val="single" w:sz="4" w:space="0" w:color="auto"/>
              <w:left w:val="single" w:sz="4" w:space="0" w:color="auto"/>
              <w:bottom w:val="single" w:sz="4" w:space="0" w:color="auto"/>
              <w:right w:val="single" w:sz="4" w:space="0" w:color="auto"/>
            </w:tcBorders>
            <w:hideMark/>
          </w:tcPr>
          <w:p w14:paraId="02FED976" w14:textId="77777777" w:rsidR="00106992" w:rsidRDefault="00106992">
            <w:pPr>
              <w:jc w:val="both"/>
              <w:rPr>
                <w:sz w:val="20"/>
                <w:szCs w:val="20"/>
                <w:lang w:val="en-US"/>
              </w:rPr>
            </w:pPr>
            <w:r>
              <w:rPr>
                <w:sz w:val="20"/>
                <w:szCs w:val="20"/>
              </w:rPr>
              <w:t> GNC</w:t>
            </w:r>
          </w:p>
        </w:tc>
      </w:tr>
      <w:tr w:rsidR="00106992" w14:paraId="35B1D7FC" w14:textId="77777777" w:rsidTr="00106992">
        <w:tc>
          <w:tcPr>
            <w:tcW w:w="562" w:type="dxa"/>
            <w:tcBorders>
              <w:top w:val="single" w:sz="4" w:space="0" w:color="auto"/>
              <w:left w:val="single" w:sz="4" w:space="0" w:color="auto"/>
              <w:bottom w:val="single" w:sz="4" w:space="0" w:color="auto"/>
              <w:right w:val="single" w:sz="4" w:space="0" w:color="auto"/>
            </w:tcBorders>
            <w:hideMark/>
          </w:tcPr>
          <w:p w14:paraId="5E4AC4A9" w14:textId="77777777" w:rsidR="00106992" w:rsidRDefault="00106992">
            <w:pPr>
              <w:spacing w:before="60" w:after="60"/>
              <w:jc w:val="both"/>
              <w:rPr>
                <w:sz w:val="20"/>
                <w:szCs w:val="20"/>
                <w:lang w:val="en-US"/>
              </w:rPr>
            </w:pPr>
            <w:r>
              <w:rPr>
                <w:sz w:val="20"/>
                <w:szCs w:val="20"/>
              </w:rPr>
              <w:t>2.2</w:t>
            </w:r>
          </w:p>
        </w:tc>
        <w:tc>
          <w:tcPr>
            <w:tcW w:w="6543" w:type="dxa"/>
            <w:tcBorders>
              <w:top w:val="single" w:sz="4" w:space="0" w:color="auto"/>
              <w:left w:val="single" w:sz="4" w:space="0" w:color="auto"/>
              <w:bottom w:val="single" w:sz="4" w:space="0" w:color="auto"/>
              <w:right w:val="single" w:sz="4" w:space="0" w:color="auto"/>
            </w:tcBorders>
            <w:hideMark/>
          </w:tcPr>
          <w:p w14:paraId="75676ABD" w14:textId="77777777" w:rsidR="00106992" w:rsidRDefault="00106992">
            <w:pPr>
              <w:spacing w:before="60" w:after="60"/>
              <w:jc w:val="both"/>
              <w:rPr>
                <w:sz w:val="20"/>
                <w:szCs w:val="20"/>
                <w:lang w:val="en-US"/>
              </w:rPr>
            </w:pPr>
            <w:r>
              <w:rPr>
                <w:sz w:val="20"/>
                <w:szCs w:val="20"/>
              </w:rPr>
              <w:t>Creation of the Strategic Advocacy Committee is important and welcomed.  However, issues that it debates may not always be strictly ‘advocacy’ related. As such, it will be important to retain a degree of flexibility in the work and membership of this committee (e.g. to ensure involvement of the current Strategic Committee members) so that it is able to discuss broader strategic issues, as well as some of the strategic functions are embraced by the Country Engagement Working Group.</w:t>
            </w:r>
          </w:p>
        </w:tc>
        <w:tc>
          <w:tcPr>
            <w:tcW w:w="1911" w:type="dxa"/>
            <w:tcBorders>
              <w:top w:val="single" w:sz="4" w:space="0" w:color="auto"/>
              <w:left w:val="single" w:sz="4" w:space="0" w:color="auto"/>
              <w:bottom w:val="single" w:sz="4" w:space="0" w:color="auto"/>
              <w:right w:val="single" w:sz="4" w:space="0" w:color="auto"/>
            </w:tcBorders>
            <w:hideMark/>
          </w:tcPr>
          <w:p w14:paraId="1B76C009" w14:textId="77777777" w:rsidR="00106992" w:rsidRDefault="00106992">
            <w:pPr>
              <w:jc w:val="both"/>
              <w:rPr>
                <w:sz w:val="20"/>
                <w:szCs w:val="20"/>
                <w:lang w:val="en-US"/>
              </w:rPr>
            </w:pPr>
            <w:r>
              <w:rPr>
                <w:sz w:val="20"/>
                <w:szCs w:val="20"/>
              </w:rPr>
              <w:t>GNC</w:t>
            </w:r>
          </w:p>
        </w:tc>
      </w:tr>
      <w:tr w:rsidR="00106992" w14:paraId="417B97FC" w14:textId="77777777" w:rsidTr="00106992">
        <w:tc>
          <w:tcPr>
            <w:tcW w:w="562" w:type="dxa"/>
            <w:tcBorders>
              <w:top w:val="single" w:sz="4" w:space="0" w:color="auto"/>
              <w:left w:val="single" w:sz="4" w:space="0" w:color="auto"/>
              <w:bottom w:val="single" w:sz="4" w:space="0" w:color="auto"/>
              <w:right w:val="single" w:sz="4" w:space="0" w:color="auto"/>
            </w:tcBorders>
            <w:hideMark/>
          </w:tcPr>
          <w:p w14:paraId="02B7B9AA" w14:textId="77777777" w:rsidR="00106992" w:rsidRDefault="00106992">
            <w:pPr>
              <w:spacing w:before="60" w:after="60"/>
              <w:jc w:val="both"/>
              <w:rPr>
                <w:sz w:val="20"/>
                <w:szCs w:val="20"/>
                <w:lang w:val="en-US"/>
              </w:rPr>
            </w:pPr>
            <w:r>
              <w:rPr>
                <w:sz w:val="20"/>
                <w:szCs w:val="20"/>
              </w:rPr>
              <w:t>2.3</w:t>
            </w:r>
          </w:p>
        </w:tc>
        <w:tc>
          <w:tcPr>
            <w:tcW w:w="6543" w:type="dxa"/>
            <w:tcBorders>
              <w:top w:val="single" w:sz="4" w:space="0" w:color="auto"/>
              <w:left w:val="single" w:sz="4" w:space="0" w:color="auto"/>
              <w:bottom w:val="single" w:sz="4" w:space="0" w:color="auto"/>
              <w:right w:val="single" w:sz="4" w:space="0" w:color="auto"/>
            </w:tcBorders>
            <w:hideMark/>
          </w:tcPr>
          <w:p w14:paraId="5D5A5D70" w14:textId="77777777" w:rsidR="00106992" w:rsidRDefault="00106992">
            <w:pPr>
              <w:spacing w:before="60" w:after="60"/>
              <w:jc w:val="both"/>
              <w:rPr>
                <w:sz w:val="20"/>
                <w:szCs w:val="20"/>
                <w:lang w:val="en-US"/>
              </w:rPr>
            </w:pPr>
            <w:r>
              <w:rPr>
                <w:sz w:val="20"/>
                <w:szCs w:val="20"/>
              </w:rPr>
              <w:t>Agreement to keep the same individuals representing their respective constituency on the Executive Committee, although with potentially having one other person as an Alternate, in case the member is unable to join or leaves. Advantages of doing so include ensuring the development and maintenance of institutional memory, and building working relationships between members of the EC.</w:t>
            </w:r>
          </w:p>
        </w:tc>
        <w:tc>
          <w:tcPr>
            <w:tcW w:w="1911" w:type="dxa"/>
            <w:tcBorders>
              <w:top w:val="single" w:sz="4" w:space="0" w:color="auto"/>
              <w:left w:val="single" w:sz="4" w:space="0" w:color="auto"/>
              <w:bottom w:val="single" w:sz="4" w:space="0" w:color="auto"/>
              <w:right w:val="single" w:sz="4" w:space="0" w:color="auto"/>
            </w:tcBorders>
            <w:hideMark/>
          </w:tcPr>
          <w:p w14:paraId="6EBF71BF" w14:textId="77777777" w:rsidR="00106992" w:rsidRDefault="00106992">
            <w:pPr>
              <w:jc w:val="both"/>
              <w:rPr>
                <w:sz w:val="20"/>
                <w:szCs w:val="20"/>
                <w:lang w:val="en-US"/>
              </w:rPr>
            </w:pPr>
            <w:r>
              <w:rPr>
                <w:sz w:val="20"/>
                <w:szCs w:val="20"/>
              </w:rPr>
              <w:t> GNC</w:t>
            </w:r>
          </w:p>
        </w:tc>
      </w:tr>
      <w:tr w:rsidR="00106992" w14:paraId="40559C80" w14:textId="77777777" w:rsidTr="00106992">
        <w:tc>
          <w:tcPr>
            <w:tcW w:w="562" w:type="dxa"/>
            <w:tcBorders>
              <w:top w:val="single" w:sz="4" w:space="0" w:color="auto"/>
              <w:left w:val="single" w:sz="4" w:space="0" w:color="auto"/>
              <w:bottom w:val="single" w:sz="4" w:space="0" w:color="auto"/>
              <w:right w:val="single" w:sz="4" w:space="0" w:color="auto"/>
            </w:tcBorders>
            <w:hideMark/>
          </w:tcPr>
          <w:p w14:paraId="3D827218" w14:textId="77777777" w:rsidR="00106992" w:rsidRDefault="00106992">
            <w:pPr>
              <w:spacing w:before="60" w:after="60"/>
              <w:jc w:val="both"/>
              <w:rPr>
                <w:sz w:val="20"/>
                <w:szCs w:val="20"/>
                <w:lang w:val="en-US"/>
              </w:rPr>
            </w:pPr>
            <w:r>
              <w:rPr>
                <w:sz w:val="20"/>
                <w:szCs w:val="20"/>
              </w:rPr>
              <w:t>2.4</w:t>
            </w:r>
          </w:p>
        </w:tc>
        <w:tc>
          <w:tcPr>
            <w:tcW w:w="6543" w:type="dxa"/>
            <w:tcBorders>
              <w:top w:val="single" w:sz="4" w:space="0" w:color="auto"/>
              <w:left w:val="single" w:sz="4" w:space="0" w:color="auto"/>
              <w:bottom w:val="single" w:sz="4" w:space="0" w:color="auto"/>
              <w:right w:val="single" w:sz="4" w:space="0" w:color="auto"/>
            </w:tcBorders>
            <w:hideMark/>
          </w:tcPr>
          <w:p w14:paraId="505FCA80" w14:textId="77777777" w:rsidR="00106992" w:rsidRDefault="00106992">
            <w:pPr>
              <w:spacing w:before="60" w:after="60"/>
              <w:jc w:val="both"/>
              <w:rPr>
                <w:sz w:val="20"/>
                <w:szCs w:val="20"/>
                <w:lang w:val="en-US"/>
              </w:rPr>
            </w:pPr>
            <w:r>
              <w:rPr>
                <w:sz w:val="20"/>
                <w:szCs w:val="20"/>
              </w:rPr>
              <w:t>Important to balance inclusion and representation, with the need to streamline processes and ensure efficient operations.</w:t>
            </w:r>
          </w:p>
        </w:tc>
        <w:tc>
          <w:tcPr>
            <w:tcW w:w="1911" w:type="dxa"/>
            <w:tcBorders>
              <w:top w:val="single" w:sz="4" w:space="0" w:color="auto"/>
              <w:left w:val="single" w:sz="4" w:space="0" w:color="auto"/>
              <w:bottom w:val="single" w:sz="4" w:space="0" w:color="auto"/>
              <w:right w:val="single" w:sz="4" w:space="0" w:color="auto"/>
            </w:tcBorders>
            <w:hideMark/>
          </w:tcPr>
          <w:p w14:paraId="05E86ACB" w14:textId="77777777" w:rsidR="00106992" w:rsidRDefault="00106992">
            <w:pPr>
              <w:jc w:val="both"/>
              <w:rPr>
                <w:sz w:val="20"/>
                <w:szCs w:val="20"/>
                <w:lang w:val="en-US"/>
              </w:rPr>
            </w:pPr>
            <w:r>
              <w:rPr>
                <w:sz w:val="20"/>
                <w:szCs w:val="20"/>
              </w:rPr>
              <w:t> GNC</w:t>
            </w:r>
          </w:p>
        </w:tc>
      </w:tr>
      <w:tr w:rsidR="00106992" w14:paraId="1425DCFD" w14:textId="77777777" w:rsidTr="00106992">
        <w:tc>
          <w:tcPr>
            <w:tcW w:w="562" w:type="dxa"/>
            <w:tcBorders>
              <w:top w:val="single" w:sz="4" w:space="0" w:color="auto"/>
              <w:left w:val="single" w:sz="4" w:space="0" w:color="auto"/>
              <w:bottom w:val="single" w:sz="4" w:space="0" w:color="auto"/>
              <w:right w:val="single" w:sz="4" w:space="0" w:color="auto"/>
            </w:tcBorders>
            <w:hideMark/>
          </w:tcPr>
          <w:p w14:paraId="2F61C187" w14:textId="77777777" w:rsidR="00106992" w:rsidRDefault="00106992">
            <w:pPr>
              <w:spacing w:before="60" w:after="60"/>
              <w:jc w:val="both"/>
              <w:rPr>
                <w:sz w:val="20"/>
                <w:szCs w:val="20"/>
              </w:rPr>
            </w:pPr>
            <w:r>
              <w:rPr>
                <w:sz w:val="20"/>
                <w:szCs w:val="20"/>
              </w:rPr>
              <w:t>2.5</w:t>
            </w:r>
          </w:p>
        </w:tc>
        <w:tc>
          <w:tcPr>
            <w:tcW w:w="6543" w:type="dxa"/>
            <w:tcBorders>
              <w:top w:val="single" w:sz="4" w:space="0" w:color="auto"/>
              <w:left w:val="single" w:sz="4" w:space="0" w:color="auto"/>
              <w:bottom w:val="single" w:sz="4" w:space="0" w:color="auto"/>
              <w:right w:val="single" w:sz="4" w:space="0" w:color="auto"/>
            </w:tcBorders>
            <w:hideMark/>
          </w:tcPr>
          <w:p w14:paraId="544A2884" w14:textId="77777777" w:rsidR="00106992" w:rsidRDefault="00106992">
            <w:pPr>
              <w:spacing w:before="60" w:after="60"/>
              <w:jc w:val="both"/>
              <w:rPr>
                <w:sz w:val="20"/>
                <w:szCs w:val="20"/>
              </w:rPr>
            </w:pPr>
            <w:r>
              <w:rPr>
                <w:sz w:val="20"/>
                <w:szCs w:val="20"/>
              </w:rPr>
              <w:t>It is important that the new governance structures and ways of working take account of the risks associated with the digital divide, bearing this in mind as a potential barrier to inclusiveness and therefore suggesting solutions.</w:t>
            </w:r>
          </w:p>
        </w:tc>
        <w:tc>
          <w:tcPr>
            <w:tcW w:w="1911" w:type="dxa"/>
            <w:tcBorders>
              <w:top w:val="single" w:sz="4" w:space="0" w:color="auto"/>
              <w:left w:val="single" w:sz="4" w:space="0" w:color="auto"/>
              <w:bottom w:val="single" w:sz="4" w:space="0" w:color="auto"/>
              <w:right w:val="single" w:sz="4" w:space="0" w:color="auto"/>
            </w:tcBorders>
            <w:hideMark/>
          </w:tcPr>
          <w:p w14:paraId="3C012CF1" w14:textId="77777777" w:rsidR="00106992" w:rsidRDefault="00106992">
            <w:pPr>
              <w:jc w:val="both"/>
              <w:rPr>
                <w:sz w:val="20"/>
                <w:szCs w:val="20"/>
              </w:rPr>
            </w:pPr>
            <w:r>
              <w:rPr>
                <w:sz w:val="20"/>
                <w:szCs w:val="20"/>
              </w:rPr>
              <w:t> GNC</w:t>
            </w:r>
          </w:p>
        </w:tc>
      </w:tr>
      <w:tr w:rsidR="00106992" w14:paraId="18E1B416" w14:textId="77777777" w:rsidTr="00106992">
        <w:tc>
          <w:tcPr>
            <w:tcW w:w="562" w:type="dxa"/>
            <w:tcBorders>
              <w:top w:val="single" w:sz="4" w:space="0" w:color="auto"/>
              <w:left w:val="single" w:sz="4" w:space="0" w:color="auto"/>
              <w:bottom w:val="single" w:sz="4" w:space="0" w:color="auto"/>
              <w:right w:val="single" w:sz="4" w:space="0" w:color="auto"/>
            </w:tcBorders>
            <w:hideMark/>
          </w:tcPr>
          <w:p w14:paraId="0B9B9BAC" w14:textId="77777777" w:rsidR="00106992" w:rsidRDefault="00106992">
            <w:pPr>
              <w:spacing w:before="60" w:after="60"/>
              <w:jc w:val="both"/>
              <w:rPr>
                <w:sz w:val="20"/>
                <w:szCs w:val="20"/>
              </w:rPr>
            </w:pPr>
            <w:r>
              <w:rPr>
                <w:sz w:val="20"/>
                <w:szCs w:val="20"/>
              </w:rPr>
              <w:t>2.6</w:t>
            </w:r>
          </w:p>
        </w:tc>
        <w:tc>
          <w:tcPr>
            <w:tcW w:w="6543" w:type="dxa"/>
            <w:tcBorders>
              <w:top w:val="single" w:sz="4" w:space="0" w:color="auto"/>
              <w:left w:val="single" w:sz="4" w:space="0" w:color="auto"/>
              <w:bottom w:val="single" w:sz="4" w:space="0" w:color="auto"/>
              <w:right w:val="single" w:sz="4" w:space="0" w:color="auto"/>
            </w:tcBorders>
            <w:hideMark/>
          </w:tcPr>
          <w:p w14:paraId="6BAFCD14" w14:textId="77777777" w:rsidR="00106992" w:rsidRDefault="00106992">
            <w:pPr>
              <w:spacing w:before="60" w:after="60"/>
              <w:jc w:val="both"/>
              <w:rPr>
                <w:sz w:val="20"/>
                <w:szCs w:val="20"/>
              </w:rPr>
            </w:pPr>
            <w:r>
              <w:rPr>
                <w:sz w:val="20"/>
                <w:szCs w:val="20"/>
              </w:rPr>
              <w:t>It would be helpful to document and then share best practices of intra-constituency communication and build on such lessons to improve interaction between constituencies in the context of the new model.</w:t>
            </w:r>
          </w:p>
        </w:tc>
        <w:tc>
          <w:tcPr>
            <w:tcW w:w="1911" w:type="dxa"/>
            <w:tcBorders>
              <w:top w:val="single" w:sz="4" w:space="0" w:color="auto"/>
              <w:left w:val="single" w:sz="4" w:space="0" w:color="auto"/>
              <w:bottom w:val="single" w:sz="4" w:space="0" w:color="auto"/>
              <w:right w:val="single" w:sz="4" w:space="0" w:color="auto"/>
            </w:tcBorders>
            <w:hideMark/>
          </w:tcPr>
          <w:p w14:paraId="525B6FED" w14:textId="77777777" w:rsidR="00106992" w:rsidRDefault="00106992">
            <w:pPr>
              <w:jc w:val="both"/>
              <w:rPr>
                <w:sz w:val="20"/>
                <w:szCs w:val="20"/>
              </w:rPr>
            </w:pPr>
            <w:r>
              <w:rPr>
                <w:sz w:val="20"/>
                <w:szCs w:val="20"/>
              </w:rPr>
              <w:t> GNC</w:t>
            </w:r>
          </w:p>
        </w:tc>
      </w:tr>
      <w:tr w:rsidR="00106992" w14:paraId="6B29A821" w14:textId="77777777" w:rsidTr="00106992">
        <w:tc>
          <w:tcPr>
            <w:tcW w:w="562" w:type="dxa"/>
            <w:tcBorders>
              <w:top w:val="single" w:sz="4" w:space="0" w:color="auto"/>
              <w:left w:val="single" w:sz="4" w:space="0" w:color="auto"/>
              <w:bottom w:val="single" w:sz="4" w:space="0" w:color="auto"/>
              <w:right w:val="single" w:sz="4" w:space="0" w:color="auto"/>
            </w:tcBorders>
            <w:hideMark/>
          </w:tcPr>
          <w:p w14:paraId="25C6736E" w14:textId="77777777" w:rsidR="00106992" w:rsidRDefault="00106992">
            <w:pPr>
              <w:spacing w:before="60" w:after="60"/>
              <w:jc w:val="both"/>
              <w:rPr>
                <w:sz w:val="20"/>
                <w:szCs w:val="20"/>
              </w:rPr>
            </w:pPr>
            <w:r>
              <w:rPr>
                <w:sz w:val="20"/>
                <w:szCs w:val="20"/>
              </w:rPr>
              <w:t>2.7</w:t>
            </w:r>
          </w:p>
        </w:tc>
        <w:tc>
          <w:tcPr>
            <w:tcW w:w="6543" w:type="dxa"/>
            <w:tcBorders>
              <w:top w:val="single" w:sz="4" w:space="0" w:color="auto"/>
              <w:left w:val="single" w:sz="4" w:space="0" w:color="auto"/>
              <w:bottom w:val="single" w:sz="4" w:space="0" w:color="auto"/>
              <w:right w:val="single" w:sz="4" w:space="0" w:color="auto"/>
            </w:tcBorders>
            <w:hideMark/>
          </w:tcPr>
          <w:p w14:paraId="494708B8" w14:textId="77777777" w:rsidR="00106992" w:rsidRDefault="00106992">
            <w:pPr>
              <w:spacing w:before="60" w:after="60"/>
              <w:jc w:val="both"/>
              <w:rPr>
                <w:sz w:val="20"/>
                <w:szCs w:val="20"/>
              </w:rPr>
            </w:pPr>
            <w:r>
              <w:rPr>
                <w:sz w:val="20"/>
                <w:szCs w:val="20"/>
              </w:rPr>
              <w:t xml:space="preserve">It is important that working groups or committees that have served their need are closed or changed, ensuring ongoing relevance of all structures to service the overall objective of the work. </w:t>
            </w:r>
          </w:p>
        </w:tc>
        <w:tc>
          <w:tcPr>
            <w:tcW w:w="1911" w:type="dxa"/>
            <w:tcBorders>
              <w:top w:val="single" w:sz="4" w:space="0" w:color="auto"/>
              <w:left w:val="single" w:sz="4" w:space="0" w:color="auto"/>
              <w:bottom w:val="single" w:sz="4" w:space="0" w:color="auto"/>
              <w:right w:val="single" w:sz="4" w:space="0" w:color="auto"/>
            </w:tcBorders>
            <w:hideMark/>
          </w:tcPr>
          <w:p w14:paraId="452658CE" w14:textId="77777777" w:rsidR="00106992" w:rsidRDefault="00106992">
            <w:pPr>
              <w:jc w:val="both"/>
              <w:rPr>
                <w:sz w:val="20"/>
                <w:szCs w:val="20"/>
              </w:rPr>
            </w:pPr>
            <w:r>
              <w:rPr>
                <w:sz w:val="20"/>
                <w:szCs w:val="20"/>
              </w:rPr>
              <w:t> GNC</w:t>
            </w:r>
          </w:p>
        </w:tc>
      </w:tr>
      <w:tr w:rsidR="00106992" w14:paraId="13F33EE0" w14:textId="77777777" w:rsidTr="00106992">
        <w:tc>
          <w:tcPr>
            <w:tcW w:w="562" w:type="dxa"/>
            <w:tcBorders>
              <w:top w:val="single" w:sz="4" w:space="0" w:color="auto"/>
              <w:left w:val="single" w:sz="4" w:space="0" w:color="auto"/>
              <w:bottom w:val="single" w:sz="4" w:space="0" w:color="auto"/>
              <w:right w:val="single" w:sz="4" w:space="0" w:color="auto"/>
            </w:tcBorders>
            <w:hideMark/>
          </w:tcPr>
          <w:p w14:paraId="3823FD43" w14:textId="77777777" w:rsidR="00106992" w:rsidRDefault="00106992">
            <w:pPr>
              <w:spacing w:before="60" w:after="60"/>
              <w:jc w:val="both"/>
              <w:rPr>
                <w:sz w:val="20"/>
                <w:szCs w:val="20"/>
              </w:rPr>
            </w:pPr>
            <w:r>
              <w:rPr>
                <w:sz w:val="20"/>
                <w:szCs w:val="20"/>
              </w:rPr>
              <w:t>2.8</w:t>
            </w:r>
          </w:p>
        </w:tc>
        <w:tc>
          <w:tcPr>
            <w:tcW w:w="6543" w:type="dxa"/>
            <w:tcBorders>
              <w:top w:val="single" w:sz="4" w:space="0" w:color="auto"/>
              <w:left w:val="single" w:sz="4" w:space="0" w:color="auto"/>
              <w:bottom w:val="single" w:sz="4" w:space="0" w:color="auto"/>
              <w:right w:val="single" w:sz="4" w:space="0" w:color="auto"/>
            </w:tcBorders>
            <w:hideMark/>
          </w:tcPr>
          <w:p w14:paraId="57B7D62B" w14:textId="77777777" w:rsidR="00106992" w:rsidRDefault="00106992">
            <w:pPr>
              <w:spacing w:before="60" w:after="60"/>
              <w:jc w:val="both"/>
              <w:rPr>
                <w:sz w:val="20"/>
                <w:szCs w:val="20"/>
              </w:rPr>
            </w:pPr>
            <w:r>
              <w:rPr>
                <w:sz w:val="20"/>
                <w:szCs w:val="20"/>
              </w:rPr>
              <w:t>Comments on the paper are to be received from the EC in writing no later than close of business on Friday 27 November 2020, but preferably earlier.</w:t>
            </w:r>
          </w:p>
        </w:tc>
        <w:tc>
          <w:tcPr>
            <w:tcW w:w="1911" w:type="dxa"/>
            <w:tcBorders>
              <w:top w:val="single" w:sz="4" w:space="0" w:color="auto"/>
              <w:left w:val="single" w:sz="4" w:space="0" w:color="auto"/>
              <w:bottom w:val="single" w:sz="4" w:space="0" w:color="auto"/>
              <w:right w:val="single" w:sz="4" w:space="0" w:color="auto"/>
            </w:tcBorders>
            <w:hideMark/>
          </w:tcPr>
          <w:p w14:paraId="42A01FDD" w14:textId="77777777" w:rsidR="00106992" w:rsidRDefault="00106992">
            <w:pPr>
              <w:jc w:val="both"/>
              <w:rPr>
                <w:sz w:val="20"/>
                <w:szCs w:val="20"/>
              </w:rPr>
            </w:pPr>
            <w:r>
              <w:rPr>
                <w:sz w:val="20"/>
                <w:szCs w:val="20"/>
              </w:rPr>
              <w:t> EC</w:t>
            </w:r>
          </w:p>
        </w:tc>
      </w:tr>
    </w:tbl>
    <w:p w14:paraId="75BFC5D4" w14:textId="77777777" w:rsidR="00106992" w:rsidRDefault="00106992" w:rsidP="00106992">
      <w:pPr>
        <w:spacing w:before="360" w:after="360" w:line="240" w:lineRule="auto"/>
        <w:jc w:val="both"/>
        <w:rPr>
          <w:b/>
          <w:color w:val="7030A0"/>
          <w:lang w:val="en-US"/>
        </w:rPr>
      </w:pPr>
      <w:r>
        <w:rPr>
          <w:b/>
          <w:color w:val="7030A0"/>
          <w:lang w:val="en-US"/>
        </w:rPr>
        <w:lastRenderedPageBreak/>
        <w:t xml:space="preserve">ITEM 3 – PMNCH rebranding </w:t>
      </w:r>
    </w:p>
    <w:tbl>
      <w:tblPr>
        <w:tblStyle w:val="TableGrid"/>
        <w:tblW w:w="0" w:type="auto"/>
        <w:tblLook w:val="04A0" w:firstRow="1" w:lastRow="0" w:firstColumn="1" w:lastColumn="0" w:noHBand="0" w:noVBand="1"/>
      </w:tblPr>
      <w:tblGrid>
        <w:gridCol w:w="562"/>
        <w:gridCol w:w="6543"/>
        <w:gridCol w:w="1911"/>
      </w:tblGrid>
      <w:tr w:rsidR="00106992" w14:paraId="56F4ACD7" w14:textId="77777777" w:rsidTr="00106992">
        <w:trPr>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54788" w14:textId="77777777" w:rsidR="00106992" w:rsidRDefault="00106992">
            <w:pPr>
              <w:spacing w:before="120" w:after="120"/>
              <w:rPr>
                <w:b/>
                <w:sz w:val="20"/>
                <w:szCs w:val="20"/>
                <w:lang w:val="en-US"/>
              </w:rPr>
            </w:pPr>
          </w:p>
        </w:tc>
        <w:tc>
          <w:tcPr>
            <w:tcW w:w="6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660D71" w14:textId="77777777" w:rsidR="00106992" w:rsidRDefault="00106992">
            <w:pPr>
              <w:spacing w:before="120" w:after="120"/>
              <w:rPr>
                <w:b/>
                <w:sz w:val="20"/>
                <w:szCs w:val="20"/>
                <w:lang w:val="en-US"/>
              </w:rPr>
            </w:pPr>
            <w:r>
              <w:rPr>
                <w:b/>
                <w:sz w:val="20"/>
                <w:szCs w:val="20"/>
                <w:lang w:val="en-US"/>
              </w:rPr>
              <w:t>Decision / Action</w:t>
            </w:r>
          </w:p>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1E6426" w14:textId="77777777" w:rsidR="00106992" w:rsidRDefault="00106992">
            <w:pPr>
              <w:spacing w:before="120" w:after="120"/>
              <w:rPr>
                <w:b/>
                <w:sz w:val="20"/>
                <w:szCs w:val="20"/>
                <w:lang w:val="en-US"/>
              </w:rPr>
            </w:pPr>
            <w:r>
              <w:rPr>
                <w:b/>
                <w:sz w:val="20"/>
                <w:szCs w:val="20"/>
                <w:lang w:val="en-US"/>
              </w:rPr>
              <w:t>Responsibility</w:t>
            </w:r>
          </w:p>
        </w:tc>
      </w:tr>
      <w:tr w:rsidR="00106992" w14:paraId="555FE360"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0397A64D" w14:textId="77777777" w:rsidR="00106992" w:rsidRDefault="00106992">
            <w:pPr>
              <w:spacing w:before="60" w:after="60"/>
              <w:jc w:val="both"/>
              <w:rPr>
                <w:sz w:val="20"/>
                <w:szCs w:val="20"/>
                <w:lang w:val="en-US"/>
              </w:rPr>
            </w:pPr>
            <w:r>
              <w:rPr>
                <w:sz w:val="20"/>
                <w:szCs w:val="20"/>
                <w:lang w:val="en-US"/>
              </w:rPr>
              <w:t>3.1</w:t>
            </w:r>
          </w:p>
        </w:tc>
        <w:tc>
          <w:tcPr>
            <w:tcW w:w="6543" w:type="dxa"/>
            <w:tcBorders>
              <w:top w:val="single" w:sz="4" w:space="0" w:color="auto"/>
              <w:left w:val="single" w:sz="4" w:space="0" w:color="auto"/>
              <w:bottom w:val="single" w:sz="4" w:space="0" w:color="auto"/>
              <w:right w:val="single" w:sz="4" w:space="0" w:color="auto"/>
            </w:tcBorders>
            <w:hideMark/>
          </w:tcPr>
          <w:p w14:paraId="6BD3848D" w14:textId="77777777" w:rsidR="00106992" w:rsidRDefault="00106992">
            <w:pPr>
              <w:spacing w:before="60" w:after="60"/>
              <w:jc w:val="both"/>
              <w:rPr>
                <w:color w:val="000000"/>
                <w:sz w:val="20"/>
                <w:szCs w:val="20"/>
              </w:rPr>
            </w:pPr>
            <w:r>
              <w:rPr>
                <w:color w:val="000000" w:themeColor="text1"/>
                <w:sz w:val="20"/>
                <w:szCs w:val="20"/>
              </w:rPr>
              <w:t>Agreement with the ‘</w:t>
            </w:r>
            <w:r>
              <w:rPr>
                <w:i/>
                <w:iCs/>
                <w:color w:val="000000" w:themeColor="text1"/>
                <w:sz w:val="20"/>
                <w:szCs w:val="20"/>
              </w:rPr>
              <w:t>For</w:t>
            </w:r>
            <w:r>
              <w:rPr>
                <w:color w:val="000000" w:themeColor="text1"/>
                <w:sz w:val="20"/>
                <w:szCs w:val="20"/>
              </w:rPr>
              <w:t xml:space="preserve">’ concept and a preference was expressed for the second option, showing the circle with the </w:t>
            </w:r>
            <w:proofErr w:type="spellStart"/>
            <w:r>
              <w:rPr>
                <w:color w:val="000000" w:themeColor="text1"/>
                <w:sz w:val="20"/>
                <w:szCs w:val="20"/>
              </w:rPr>
              <w:t>Pipli</w:t>
            </w:r>
            <w:proofErr w:type="spellEnd"/>
            <w:r>
              <w:rPr>
                <w:color w:val="000000" w:themeColor="text1"/>
                <w:sz w:val="20"/>
                <w:szCs w:val="20"/>
              </w:rPr>
              <w:t xml:space="preserve"> motif. </w:t>
            </w:r>
          </w:p>
        </w:tc>
        <w:tc>
          <w:tcPr>
            <w:tcW w:w="1911" w:type="dxa"/>
            <w:tcBorders>
              <w:top w:val="single" w:sz="4" w:space="0" w:color="auto"/>
              <w:left w:val="single" w:sz="4" w:space="0" w:color="auto"/>
              <w:bottom w:val="single" w:sz="4" w:space="0" w:color="auto"/>
              <w:right w:val="single" w:sz="4" w:space="0" w:color="auto"/>
            </w:tcBorders>
            <w:hideMark/>
          </w:tcPr>
          <w:p w14:paraId="2C911859" w14:textId="77777777" w:rsidR="00106992" w:rsidRDefault="00106992">
            <w:pPr>
              <w:spacing w:before="60" w:after="60"/>
              <w:jc w:val="both"/>
              <w:rPr>
                <w:sz w:val="20"/>
                <w:szCs w:val="20"/>
                <w:lang w:val="en-US"/>
              </w:rPr>
            </w:pPr>
            <w:r>
              <w:rPr>
                <w:sz w:val="20"/>
                <w:szCs w:val="20"/>
                <w:lang w:val="en-US"/>
              </w:rPr>
              <w:t>Lopez Design</w:t>
            </w:r>
          </w:p>
        </w:tc>
      </w:tr>
      <w:tr w:rsidR="00106992" w14:paraId="46565424"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5AA2B9EF" w14:textId="77777777" w:rsidR="00106992" w:rsidRDefault="00106992">
            <w:pPr>
              <w:spacing w:before="60" w:after="60"/>
              <w:jc w:val="both"/>
              <w:rPr>
                <w:sz w:val="20"/>
                <w:szCs w:val="20"/>
                <w:lang w:val="en-US"/>
              </w:rPr>
            </w:pPr>
            <w:r>
              <w:rPr>
                <w:sz w:val="20"/>
                <w:szCs w:val="20"/>
                <w:lang w:val="en-US"/>
              </w:rPr>
              <w:t>3.2</w:t>
            </w:r>
          </w:p>
        </w:tc>
        <w:tc>
          <w:tcPr>
            <w:tcW w:w="6543" w:type="dxa"/>
            <w:tcBorders>
              <w:top w:val="single" w:sz="4" w:space="0" w:color="auto"/>
              <w:left w:val="single" w:sz="4" w:space="0" w:color="auto"/>
              <w:bottom w:val="single" w:sz="4" w:space="0" w:color="auto"/>
              <w:right w:val="single" w:sz="4" w:space="0" w:color="auto"/>
            </w:tcBorders>
            <w:hideMark/>
          </w:tcPr>
          <w:p w14:paraId="2FC3DA6B" w14:textId="77777777" w:rsidR="00106992" w:rsidRDefault="00106992">
            <w:pPr>
              <w:spacing w:before="60" w:after="60"/>
              <w:jc w:val="both"/>
              <w:rPr>
                <w:rFonts w:cstheme="minorHAnsi"/>
                <w:color w:val="000000"/>
                <w:sz w:val="20"/>
                <w:szCs w:val="20"/>
              </w:rPr>
            </w:pPr>
            <w:r>
              <w:rPr>
                <w:rFonts w:cstheme="minorHAnsi"/>
                <w:color w:val="000000"/>
                <w:sz w:val="20"/>
                <w:szCs w:val="20"/>
              </w:rPr>
              <w:t>Taking account of the expressed preference, several reflections were shared for taking this concept forward:</w:t>
            </w:r>
          </w:p>
          <w:p w14:paraId="079F177C" w14:textId="77777777" w:rsidR="00106992" w:rsidRDefault="00106992" w:rsidP="00106992">
            <w:pPr>
              <w:pStyle w:val="ListParagraph"/>
              <w:numPr>
                <w:ilvl w:val="0"/>
                <w:numId w:val="36"/>
              </w:numPr>
              <w:spacing w:before="60" w:after="60"/>
              <w:jc w:val="both"/>
              <w:rPr>
                <w:rFonts w:cstheme="minorHAnsi"/>
                <w:color w:val="000000"/>
                <w:sz w:val="20"/>
                <w:szCs w:val="20"/>
              </w:rPr>
            </w:pPr>
            <w:r>
              <w:rPr>
                <w:rFonts w:cstheme="minorHAnsi"/>
                <w:color w:val="000000"/>
                <w:sz w:val="20"/>
                <w:szCs w:val="20"/>
              </w:rPr>
              <w:t>concept of ‘Wellbeing’ should also be included together with Health;</w:t>
            </w:r>
          </w:p>
          <w:p w14:paraId="7D54B700" w14:textId="77777777" w:rsidR="00106992" w:rsidRDefault="00106992" w:rsidP="00106992">
            <w:pPr>
              <w:pStyle w:val="ListParagraph"/>
              <w:numPr>
                <w:ilvl w:val="0"/>
                <w:numId w:val="36"/>
              </w:numPr>
              <w:spacing w:before="60" w:after="60"/>
              <w:jc w:val="both"/>
              <w:rPr>
                <w:rFonts w:cstheme="minorHAnsi"/>
                <w:color w:val="000000"/>
                <w:sz w:val="20"/>
                <w:szCs w:val="20"/>
              </w:rPr>
            </w:pPr>
            <w:r>
              <w:rPr>
                <w:rFonts w:cstheme="minorHAnsi"/>
                <w:color w:val="000000"/>
                <w:sz w:val="20"/>
                <w:szCs w:val="20"/>
              </w:rPr>
              <w:t>important not to stereotype women as caregivers and mothers, but to ensure that the branding expresses the breadth of women’s roles and ambitions;</w:t>
            </w:r>
          </w:p>
          <w:p w14:paraId="35FD7BBA" w14:textId="77777777" w:rsidR="00106992" w:rsidRDefault="00106992" w:rsidP="00106992">
            <w:pPr>
              <w:pStyle w:val="ListParagraph"/>
              <w:numPr>
                <w:ilvl w:val="0"/>
                <w:numId w:val="36"/>
              </w:numPr>
              <w:spacing w:before="60" w:after="60"/>
              <w:jc w:val="both"/>
              <w:rPr>
                <w:color w:val="000000"/>
                <w:sz w:val="20"/>
                <w:szCs w:val="20"/>
              </w:rPr>
            </w:pPr>
            <w:r>
              <w:rPr>
                <w:color w:val="000000" w:themeColor="text1"/>
                <w:sz w:val="20"/>
                <w:szCs w:val="20"/>
              </w:rPr>
              <w:t>logo should not give the impression that the woman depicted is the mother of all three children, and important to reflect men as fathers and partners;</w:t>
            </w:r>
          </w:p>
          <w:p w14:paraId="58806ACE" w14:textId="77777777" w:rsidR="00106992" w:rsidRDefault="00106992" w:rsidP="00106992">
            <w:pPr>
              <w:pStyle w:val="ListParagraph"/>
              <w:numPr>
                <w:ilvl w:val="0"/>
                <w:numId w:val="36"/>
              </w:numPr>
              <w:spacing w:before="60" w:after="60"/>
              <w:jc w:val="both"/>
              <w:rPr>
                <w:rFonts w:cstheme="minorHAnsi"/>
                <w:color w:val="000000"/>
                <w:sz w:val="20"/>
                <w:szCs w:val="20"/>
              </w:rPr>
            </w:pPr>
            <w:r>
              <w:rPr>
                <w:rFonts w:cstheme="minorHAnsi"/>
                <w:color w:val="000000"/>
                <w:sz w:val="20"/>
                <w:szCs w:val="20"/>
              </w:rPr>
              <w:t>whilst it is important to use colours reflective of the SDGs, the colour purple has been an integral part of PMNCH’s identity over the last 15 years and so it would be important to consider its prominent inclusion going forward; and</w:t>
            </w:r>
          </w:p>
          <w:p w14:paraId="518E51AD" w14:textId="77777777" w:rsidR="00106992" w:rsidRDefault="00106992" w:rsidP="00106992">
            <w:pPr>
              <w:pStyle w:val="ListParagraph"/>
              <w:numPr>
                <w:ilvl w:val="0"/>
                <w:numId w:val="36"/>
              </w:numPr>
              <w:spacing w:before="60" w:after="60"/>
              <w:jc w:val="both"/>
              <w:rPr>
                <w:color w:val="000000"/>
                <w:sz w:val="20"/>
                <w:szCs w:val="20"/>
              </w:rPr>
            </w:pPr>
            <w:r>
              <w:rPr>
                <w:color w:val="000000" w:themeColor="text1"/>
                <w:sz w:val="20"/>
                <w:szCs w:val="20"/>
              </w:rPr>
              <w:t>any future animated figures should depict the characteristics of the full breadth and diversity of the world’s population and regions.</w:t>
            </w:r>
          </w:p>
        </w:tc>
        <w:tc>
          <w:tcPr>
            <w:tcW w:w="1911" w:type="dxa"/>
            <w:tcBorders>
              <w:top w:val="single" w:sz="4" w:space="0" w:color="auto"/>
              <w:left w:val="single" w:sz="4" w:space="0" w:color="auto"/>
              <w:bottom w:val="single" w:sz="4" w:space="0" w:color="auto"/>
              <w:right w:val="single" w:sz="4" w:space="0" w:color="auto"/>
            </w:tcBorders>
            <w:hideMark/>
          </w:tcPr>
          <w:p w14:paraId="5BE048D1" w14:textId="77777777" w:rsidR="00106992" w:rsidRDefault="00106992">
            <w:pPr>
              <w:spacing w:before="60" w:after="60"/>
              <w:jc w:val="both"/>
              <w:rPr>
                <w:sz w:val="20"/>
                <w:szCs w:val="20"/>
                <w:lang w:val="en-US"/>
              </w:rPr>
            </w:pPr>
            <w:r>
              <w:rPr>
                <w:sz w:val="20"/>
                <w:szCs w:val="20"/>
                <w:lang w:val="en-US"/>
              </w:rPr>
              <w:t>Lopez Design</w:t>
            </w:r>
          </w:p>
        </w:tc>
      </w:tr>
      <w:tr w:rsidR="00106992" w14:paraId="242C824D"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78E6B73A" w14:textId="77777777" w:rsidR="00106992" w:rsidRDefault="00106992">
            <w:pPr>
              <w:spacing w:before="60" w:after="60"/>
              <w:jc w:val="both"/>
              <w:rPr>
                <w:sz w:val="20"/>
                <w:szCs w:val="20"/>
                <w:lang w:val="en-US"/>
              </w:rPr>
            </w:pPr>
            <w:r>
              <w:rPr>
                <w:sz w:val="20"/>
                <w:szCs w:val="20"/>
                <w:lang w:val="en-US"/>
              </w:rPr>
              <w:t>3.3</w:t>
            </w:r>
          </w:p>
        </w:tc>
        <w:tc>
          <w:tcPr>
            <w:tcW w:w="6543" w:type="dxa"/>
            <w:tcBorders>
              <w:top w:val="single" w:sz="4" w:space="0" w:color="auto"/>
              <w:left w:val="single" w:sz="4" w:space="0" w:color="auto"/>
              <w:bottom w:val="single" w:sz="4" w:space="0" w:color="auto"/>
              <w:right w:val="single" w:sz="4" w:space="0" w:color="auto"/>
            </w:tcBorders>
            <w:hideMark/>
          </w:tcPr>
          <w:p w14:paraId="46101738" w14:textId="77777777" w:rsidR="00106992" w:rsidRDefault="00106992">
            <w:pPr>
              <w:spacing w:before="60" w:after="60"/>
              <w:jc w:val="both"/>
              <w:rPr>
                <w:rFonts w:cstheme="minorHAnsi"/>
                <w:color w:val="000000"/>
                <w:sz w:val="20"/>
                <w:szCs w:val="20"/>
              </w:rPr>
            </w:pPr>
            <w:r>
              <w:rPr>
                <w:rFonts w:cstheme="minorHAnsi"/>
                <w:color w:val="000000"/>
                <w:sz w:val="20"/>
                <w:szCs w:val="20"/>
              </w:rPr>
              <w:t>Any additional comments on the rebranding options can be submitted to the Secretariat by the close of business on Friday 27 November 2020.</w:t>
            </w:r>
          </w:p>
        </w:tc>
        <w:tc>
          <w:tcPr>
            <w:tcW w:w="1911" w:type="dxa"/>
            <w:tcBorders>
              <w:top w:val="single" w:sz="4" w:space="0" w:color="auto"/>
              <w:left w:val="single" w:sz="4" w:space="0" w:color="auto"/>
              <w:bottom w:val="single" w:sz="4" w:space="0" w:color="auto"/>
              <w:right w:val="single" w:sz="4" w:space="0" w:color="auto"/>
            </w:tcBorders>
            <w:hideMark/>
          </w:tcPr>
          <w:p w14:paraId="72578F97" w14:textId="77777777" w:rsidR="00106992" w:rsidRDefault="00106992">
            <w:pPr>
              <w:spacing w:before="60" w:after="60"/>
              <w:jc w:val="both"/>
              <w:rPr>
                <w:sz w:val="20"/>
                <w:szCs w:val="20"/>
                <w:lang w:val="en-US"/>
              </w:rPr>
            </w:pPr>
            <w:r>
              <w:rPr>
                <w:sz w:val="20"/>
                <w:szCs w:val="20"/>
                <w:lang w:val="en-US"/>
              </w:rPr>
              <w:t>EC members</w:t>
            </w:r>
          </w:p>
        </w:tc>
      </w:tr>
      <w:tr w:rsidR="00106992" w14:paraId="0F23C8CE" w14:textId="77777777" w:rsidTr="00106992">
        <w:trPr>
          <w:cantSplit/>
        </w:trPr>
        <w:tc>
          <w:tcPr>
            <w:tcW w:w="562" w:type="dxa"/>
            <w:tcBorders>
              <w:top w:val="single" w:sz="4" w:space="0" w:color="auto"/>
              <w:left w:val="single" w:sz="4" w:space="0" w:color="auto"/>
              <w:bottom w:val="single" w:sz="4" w:space="0" w:color="auto"/>
              <w:right w:val="single" w:sz="4" w:space="0" w:color="auto"/>
            </w:tcBorders>
          </w:tcPr>
          <w:p w14:paraId="5A8F93EB" w14:textId="50479758" w:rsidR="00106992" w:rsidRDefault="007366DC">
            <w:pPr>
              <w:spacing w:before="60" w:after="60"/>
              <w:jc w:val="both"/>
              <w:rPr>
                <w:sz w:val="20"/>
                <w:szCs w:val="20"/>
                <w:lang w:val="en-US"/>
              </w:rPr>
            </w:pPr>
            <w:r>
              <w:rPr>
                <w:sz w:val="20"/>
                <w:szCs w:val="20"/>
                <w:lang w:val="en-US"/>
              </w:rPr>
              <w:t>3.4</w:t>
            </w:r>
          </w:p>
        </w:tc>
        <w:tc>
          <w:tcPr>
            <w:tcW w:w="6543" w:type="dxa"/>
            <w:tcBorders>
              <w:top w:val="single" w:sz="4" w:space="0" w:color="auto"/>
              <w:left w:val="single" w:sz="4" w:space="0" w:color="auto"/>
              <w:bottom w:val="single" w:sz="4" w:space="0" w:color="auto"/>
              <w:right w:val="single" w:sz="4" w:space="0" w:color="auto"/>
            </w:tcBorders>
            <w:hideMark/>
          </w:tcPr>
          <w:p w14:paraId="512A974E" w14:textId="77777777" w:rsidR="00106992" w:rsidRDefault="00106992">
            <w:pPr>
              <w:spacing w:before="60" w:after="60"/>
              <w:jc w:val="both"/>
              <w:rPr>
                <w:rFonts w:cstheme="minorHAnsi"/>
                <w:color w:val="000000"/>
                <w:sz w:val="20"/>
                <w:szCs w:val="20"/>
              </w:rPr>
            </w:pPr>
            <w:r>
              <w:rPr>
                <w:rFonts w:cstheme="minorHAnsi"/>
                <w:color w:val="000000"/>
                <w:sz w:val="20"/>
                <w:szCs w:val="20"/>
              </w:rPr>
              <w:t>The presented branding direction, which has received clear support at EC, will now be applied to the emerging PMNCH digital platform for the consideration of the Board at its meeting on 14 and 15 December 2020.</w:t>
            </w:r>
          </w:p>
        </w:tc>
        <w:tc>
          <w:tcPr>
            <w:tcW w:w="1911" w:type="dxa"/>
            <w:tcBorders>
              <w:top w:val="single" w:sz="4" w:space="0" w:color="auto"/>
              <w:left w:val="single" w:sz="4" w:space="0" w:color="auto"/>
              <w:bottom w:val="single" w:sz="4" w:space="0" w:color="auto"/>
              <w:right w:val="single" w:sz="4" w:space="0" w:color="auto"/>
            </w:tcBorders>
            <w:hideMark/>
          </w:tcPr>
          <w:p w14:paraId="69FB6B9E" w14:textId="77777777" w:rsidR="00106992" w:rsidRPr="00106992" w:rsidRDefault="00106992" w:rsidP="003958DE">
            <w:pPr>
              <w:pStyle w:val="ListParagraph"/>
              <w:numPr>
                <w:ilvl w:val="0"/>
                <w:numId w:val="37"/>
              </w:numPr>
              <w:ind w:left="210" w:hanging="240"/>
              <w:rPr>
                <w:sz w:val="20"/>
                <w:szCs w:val="20"/>
              </w:rPr>
            </w:pPr>
            <w:r w:rsidRPr="003958DE">
              <w:rPr>
                <w:sz w:val="20"/>
                <w:szCs w:val="20"/>
              </w:rPr>
              <w:t>Secretariat</w:t>
            </w:r>
          </w:p>
          <w:p w14:paraId="6D5C75E5" w14:textId="77777777" w:rsidR="00106992" w:rsidRPr="00106992" w:rsidRDefault="00106992" w:rsidP="003958DE">
            <w:pPr>
              <w:pStyle w:val="ListParagraph"/>
              <w:numPr>
                <w:ilvl w:val="0"/>
                <w:numId w:val="37"/>
              </w:numPr>
              <w:ind w:left="210" w:hanging="240"/>
              <w:rPr>
                <w:sz w:val="20"/>
                <w:szCs w:val="20"/>
              </w:rPr>
            </w:pPr>
            <w:r w:rsidRPr="003958DE">
              <w:rPr>
                <w:sz w:val="20"/>
                <w:szCs w:val="20"/>
              </w:rPr>
              <w:t>Lopez Design</w:t>
            </w:r>
          </w:p>
        </w:tc>
      </w:tr>
    </w:tbl>
    <w:p w14:paraId="6ADB4EFD" w14:textId="77777777" w:rsidR="00106992" w:rsidRDefault="00106992" w:rsidP="00106992">
      <w:pPr>
        <w:spacing w:before="360" w:after="360" w:line="240" w:lineRule="auto"/>
        <w:jc w:val="both"/>
        <w:rPr>
          <w:b/>
          <w:color w:val="7030A0"/>
          <w:lang w:val="en-US"/>
        </w:rPr>
      </w:pPr>
      <w:r>
        <w:rPr>
          <w:b/>
          <w:color w:val="7030A0"/>
          <w:lang w:val="en-US"/>
        </w:rPr>
        <w:t>Item 4 – 24-month Call to Action campaign plan</w:t>
      </w:r>
    </w:p>
    <w:tbl>
      <w:tblPr>
        <w:tblStyle w:val="TableGrid"/>
        <w:tblW w:w="0" w:type="auto"/>
        <w:tblLook w:val="04A0" w:firstRow="1" w:lastRow="0" w:firstColumn="1" w:lastColumn="0" w:noHBand="0" w:noVBand="1"/>
      </w:tblPr>
      <w:tblGrid>
        <w:gridCol w:w="562"/>
        <w:gridCol w:w="6543"/>
        <w:gridCol w:w="1911"/>
      </w:tblGrid>
      <w:tr w:rsidR="00106992" w14:paraId="05BCFF82" w14:textId="77777777" w:rsidTr="00106992">
        <w:trPr>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23D0A" w14:textId="77777777" w:rsidR="00106992" w:rsidRDefault="00106992">
            <w:pPr>
              <w:spacing w:before="120" w:after="120"/>
              <w:jc w:val="both"/>
              <w:rPr>
                <w:b/>
                <w:sz w:val="20"/>
                <w:szCs w:val="20"/>
                <w:lang w:val="en-US"/>
              </w:rPr>
            </w:pPr>
          </w:p>
        </w:tc>
        <w:tc>
          <w:tcPr>
            <w:tcW w:w="6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C8FAA" w14:textId="77777777" w:rsidR="00106992" w:rsidRDefault="00106992">
            <w:pPr>
              <w:spacing w:before="120" w:after="120"/>
              <w:jc w:val="both"/>
              <w:rPr>
                <w:b/>
                <w:sz w:val="20"/>
                <w:szCs w:val="20"/>
                <w:lang w:val="en-US"/>
              </w:rPr>
            </w:pPr>
            <w:r>
              <w:rPr>
                <w:b/>
                <w:sz w:val="20"/>
                <w:szCs w:val="20"/>
                <w:lang w:val="en-US"/>
              </w:rPr>
              <w:t>Decision / Action</w:t>
            </w:r>
          </w:p>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4016F2" w14:textId="77777777" w:rsidR="00106992" w:rsidRDefault="00106992">
            <w:pPr>
              <w:spacing w:before="120" w:after="120"/>
              <w:jc w:val="both"/>
              <w:rPr>
                <w:b/>
                <w:sz w:val="20"/>
                <w:szCs w:val="20"/>
                <w:lang w:val="en-US"/>
              </w:rPr>
            </w:pPr>
            <w:r>
              <w:rPr>
                <w:b/>
                <w:sz w:val="20"/>
                <w:szCs w:val="20"/>
                <w:lang w:val="en-US"/>
              </w:rPr>
              <w:t>Responsibility</w:t>
            </w:r>
          </w:p>
        </w:tc>
      </w:tr>
      <w:tr w:rsidR="00106992" w14:paraId="13A57428"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3EA2DD8B" w14:textId="77777777" w:rsidR="00106992" w:rsidRDefault="00106992">
            <w:pPr>
              <w:spacing w:before="60" w:after="60"/>
              <w:jc w:val="both"/>
              <w:rPr>
                <w:sz w:val="20"/>
                <w:szCs w:val="20"/>
                <w:lang w:val="en-US"/>
              </w:rPr>
            </w:pPr>
            <w:r>
              <w:rPr>
                <w:sz w:val="20"/>
                <w:szCs w:val="20"/>
                <w:lang w:val="en-US"/>
              </w:rPr>
              <w:t>4.1</w:t>
            </w:r>
          </w:p>
        </w:tc>
        <w:tc>
          <w:tcPr>
            <w:tcW w:w="6543" w:type="dxa"/>
            <w:tcBorders>
              <w:top w:val="single" w:sz="4" w:space="0" w:color="auto"/>
              <w:left w:val="single" w:sz="4" w:space="0" w:color="auto"/>
              <w:bottom w:val="single" w:sz="4" w:space="0" w:color="auto"/>
              <w:right w:val="single" w:sz="4" w:space="0" w:color="auto"/>
            </w:tcBorders>
            <w:hideMark/>
          </w:tcPr>
          <w:p w14:paraId="0919E3A2" w14:textId="77777777" w:rsidR="00106992" w:rsidRDefault="00106992">
            <w:pPr>
              <w:spacing w:before="60" w:after="60"/>
              <w:jc w:val="both"/>
              <w:rPr>
                <w:sz w:val="20"/>
                <w:szCs w:val="20"/>
                <w:lang w:val="en-US"/>
              </w:rPr>
            </w:pPr>
            <w:r>
              <w:rPr>
                <w:sz w:val="20"/>
                <w:szCs w:val="20"/>
                <w:lang w:val="en-US"/>
              </w:rPr>
              <w:t>Agree that work on defining the 24-month campaign should continue, for discussion at the forthcoming Board meeting.</w:t>
            </w:r>
          </w:p>
        </w:tc>
        <w:tc>
          <w:tcPr>
            <w:tcW w:w="1911" w:type="dxa"/>
            <w:tcBorders>
              <w:top w:val="single" w:sz="4" w:space="0" w:color="auto"/>
              <w:left w:val="single" w:sz="4" w:space="0" w:color="auto"/>
              <w:bottom w:val="single" w:sz="4" w:space="0" w:color="auto"/>
              <w:right w:val="single" w:sz="4" w:space="0" w:color="auto"/>
            </w:tcBorders>
            <w:hideMark/>
          </w:tcPr>
          <w:p w14:paraId="413E71ED" w14:textId="77777777" w:rsidR="00106992" w:rsidRDefault="00106992">
            <w:pPr>
              <w:spacing w:before="60" w:after="60"/>
              <w:jc w:val="both"/>
              <w:rPr>
                <w:sz w:val="20"/>
                <w:szCs w:val="20"/>
                <w:lang w:val="en-US"/>
              </w:rPr>
            </w:pPr>
            <w:r>
              <w:rPr>
                <w:sz w:val="20"/>
                <w:szCs w:val="20"/>
                <w:lang w:val="en-US"/>
              </w:rPr>
              <w:t>Advocacy WG</w:t>
            </w:r>
          </w:p>
        </w:tc>
      </w:tr>
      <w:tr w:rsidR="00106992" w14:paraId="6F8B8C6C"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4D65DAF4" w14:textId="77777777" w:rsidR="00106992" w:rsidRDefault="00106992">
            <w:pPr>
              <w:spacing w:before="60" w:after="60"/>
              <w:jc w:val="both"/>
              <w:rPr>
                <w:sz w:val="20"/>
                <w:szCs w:val="20"/>
                <w:lang w:val="en-US"/>
              </w:rPr>
            </w:pPr>
            <w:r>
              <w:rPr>
                <w:sz w:val="20"/>
                <w:szCs w:val="20"/>
                <w:lang w:val="en-US"/>
              </w:rPr>
              <w:t>4.2</w:t>
            </w:r>
          </w:p>
        </w:tc>
        <w:tc>
          <w:tcPr>
            <w:tcW w:w="6543" w:type="dxa"/>
            <w:tcBorders>
              <w:top w:val="single" w:sz="4" w:space="0" w:color="auto"/>
              <w:left w:val="single" w:sz="4" w:space="0" w:color="auto"/>
              <w:bottom w:val="single" w:sz="4" w:space="0" w:color="auto"/>
              <w:right w:val="single" w:sz="4" w:space="0" w:color="auto"/>
            </w:tcBorders>
            <w:hideMark/>
          </w:tcPr>
          <w:p w14:paraId="578D93DD" w14:textId="45E45226" w:rsidR="00106992" w:rsidRDefault="00106992">
            <w:pPr>
              <w:spacing w:before="60" w:after="60"/>
              <w:jc w:val="both"/>
              <w:rPr>
                <w:sz w:val="20"/>
                <w:szCs w:val="20"/>
                <w:lang w:val="en-US"/>
              </w:rPr>
            </w:pPr>
            <w:r>
              <w:rPr>
                <w:sz w:val="20"/>
                <w:szCs w:val="20"/>
                <w:lang w:val="en-US"/>
              </w:rPr>
              <w:t>Useful to strengthen the framing of the campaign as it relates to:</w:t>
            </w:r>
          </w:p>
          <w:p w14:paraId="6D6E5B3A" w14:textId="34730D64" w:rsidR="00106992" w:rsidRDefault="00106992" w:rsidP="00106992">
            <w:pPr>
              <w:pStyle w:val="ListParagraph"/>
              <w:numPr>
                <w:ilvl w:val="0"/>
                <w:numId w:val="36"/>
              </w:numPr>
              <w:spacing w:before="60" w:after="60"/>
              <w:jc w:val="both"/>
              <w:rPr>
                <w:sz w:val="20"/>
                <w:szCs w:val="20"/>
                <w:lang w:val="en-US"/>
              </w:rPr>
            </w:pPr>
            <w:r>
              <w:rPr>
                <w:sz w:val="20"/>
                <w:szCs w:val="20"/>
                <w:lang w:val="en-US"/>
              </w:rPr>
              <w:t>PMNCH’s overall Strategy and the role of the campaign within the Partnership’s workplan; and</w:t>
            </w:r>
          </w:p>
          <w:p w14:paraId="3DAEA706" w14:textId="77777777" w:rsidR="00106992" w:rsidRDefault="00106992" w:rsidP="003958DE">
            <w:pPr>
              <w:pStyle w:val="ListParagraph"/>
              <w:numPr>
                <w:ilvl w:val="0"/>
                <w:numId w:val="36"/>
              </w:numPr>
              <w:spacing w:before="60" w:after="60"/>
              <w:jc w:val="both"/>
              <w:rPr>
                <w:sz w:val="20"/>
                <w:szCs w:val="20"/>
                <w:lang w:val="en-US"/>
              </w:rPr>
            </w:pPr>
            <w:r>
              <w:rPr>
                <w:sz w:val="20"/>
                <w:szCs w:val="20"/>
                <w:lang w:val="en-US"/>
              </w:rPr>
              <w:t>the context of the COVID-19 pandemic.</w:t>
            </w:r>
          </w:p>
        </w:tc>
        <w:tc>
          <w:tcPr>
            <w:tcW w:w="1911" w:type="dxa"/>
            <w:tcBorders>
              <w:top w:val="single" w:sz="4" w:space="0" w:color="auto"/>
              <w:left w:val="single" w:sz="4" w:space="0" w:color="auto"/>
              <w:bottom w:val="single" w:sz="4" w:space="0" w:color="auto"/>
              <w:right w:val="single" w:sz="4" w:space="0" w:color="auto"/>
            </w:tcBorders>
            <w:hideMark/>
          </w:tcPr>
          <w:p w14:paraId="704A5AD5" w14:textId="77777777" w:rsidR="00106992" w:rsidRDefault="00106992">
            <w:pPr>
              <w:spacing w:before="60" w:after="60"/>
              <w:jc w:val="both"/>
              <w:rPr>
                <w:sz w:val="20"/>
                <w:szCs w:val="20"/>
                <w:lang w:val="en-US"/>
              </w:rPr>
            </w:pPr>
            <w:r>
              <w:rPr>
                <w:sz w:val="20"/>
                <w:szCs w:val="20"/>
                <w:lang w:val="en-US"/>
              </w:rPr>
              <w:t>Advocacy WG</w:t>
            </w:r>
          </w:p>
        </w:tc>
      </w:tr>
      <w:tr w:rsidR="00106992" w14:paraId="66B0694F"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5796EC91" w14:textId="77777777" w:rsidR="00106992" w:rsidRDefault="00106992">
            <w:pPr>
              <w:spacing w:before="60" w:after="60"/>
              <w:jc w:val="both"/>
              <w:rPr>
                <w:sz w:val="20"/>
                <w:szCs w:val="20"/>
                <w:lang w:val="en-US"/>
              </w:rPr>
            </w:pPr>
            <w:r>
              <w:rPr>
                <w:sz w:val="20"/>
                <w:szCs w:val="20"/>
                <w:lang w:val="en-US"/>
              </w:rPr>
              <w:t>4.3</w:t>
            </w:r>
          </w:p>
        </w:tc>
        <w:tc>
          <w:tcPr>
            <w:tcW w:w="6543" w:type="dxa"/>
            <w:tcBorders>
              <w:top w:val="single" w:sz="4" w:space="0" w:color="auto"/>
              <w:left w:val="single" w:sz="4" w:space="0" w:color="auto"/>
              <w:bottom w:val="single" w:sz="4" w:space="0" w:color="auto"/>
              <w:right w:val="single" w:sz="4" w:space="0" w:color="auto"/>
            </w:tcBorders>
            <w:hideMark/>
          </w:tcPr>
          <w:p w14:paraId="53FE4EB7" w14:textId="665B47E1" w:rsidR="00106992" w:rsidRDefault="00106992">
            <w:pPr>
              <w:spacing w:before="60" w:after="60"/>
              <w:jc w:val="both"/>
              <w:rPr>
                <w:sz w:val="20"/>
                <w:szCs w:val="20"/>
                <w:lang w:val="en-US"/>
              </w:rPr>
            </w:pPr>
            <w:r>
              <w:rPr>
                <w:sz w:val="20"/>
                <w:szCs w:val="20"/>
                <w:lang w:val="en-US"/>
              </w:rPr>
              <w:t xml:space="preserve">Reflecting the discussions on the breadth and depth of country-focused activities, there was agreement that a broader approach ought to be considered. In this context, the EC advised to consult further with the Country Engagement Working Group, whilst noting the fact that each country context will be different and therefore engagement through this campaign should be tailored. </w:t>
            </w:r>
          </w:p>
        </w:tc>
        <w:tc>
          <w:tcPr>
            <w:tcW w:w="1911" w:type="dxa"/>
            <w:tcBorders>
              <w:top w:val="single" w:sz="4" w:space="0" w:color="auto"/>
              <w:left w:val="single" w:sz="4" w:space="0" w:color="auto"/>
              <w:bottom w:val="single" w:sz="4" w:space="0" w:color="auto"/>
              <w:right w:val="single" w:sz="4" w:space="0" w:color="auto"/>
            </w:tcBorders>
            <w:hideMark/>
          </w:tcPr>
          <w:p w14:paraId="5E1EACBA" w14:textId="77777777" w:rsidR="00106992" w:rsidRDefault="00106992" w:rsidP="00106992">
            <w:pPr>
              <w:pStyle w:val="ListParagraph"/>
              <w:numPr>
                <w:ilvl w:val="0"/>
                <w:numId w:val="37"/>
              </w:numPr>
              <w:ind w:left="210" w:hanging="240"/>
              <w:rPr>
                <w:sz w:val="20"/>
                <w:szCs w:val="20"/>
                <w:lang w:val="en-US"/>
              </w:rPr>
            </w:pPr>
            <w:r>
              <w:rPr>
                <w:sz w:val="20"/>
                <w:szCs w:val="20"/>
              </w:rPr>
              <w:t>Advocacy</w:t>
            </w:r>
            <w:r>
              <w:rPr>
                <w:sz w:val="20"/>
                <w:szCs w:val="20"/>
                <w:lang w:val="en-US"/>
              </w:rPr>
              <w:t xml:space="preserve"> WG</w:t>
            </w:r>
          </w:p>
          <w:p w14:paraId="59D54B23" w14:textId="77777777" w:rsidR="00106992" w:rsidRDefault="00106992" w:rsidP="00106992">
            <w:pPr>
              <w:pStyle w:val="ListParagraph"/>
              <w:numPr>
                <w:ilvl w:val="0"/>
                <w:numId w:val="37"/>
              </w:numPr>
              <w:ind w:left="210" w:hanging="240"/>
              <w:rPr>
                <w:sz w:val="20"/>
                <w:szCs w:val="20"/>
                <w:lang w:val="en-US"/>
              </w:rPr>
            </w:pPr>
            <w:r>
              <w:rPr>
                <w:sz w:val="20"/>
                <w:szCs w:val="20"/>
                <w:lang w:val="en-US"/>
              </w:rPr>
              <w:t>Country engagement WG</w:t>
            </w:r>
          </w:p>
        </w:tc>
      </w:tr>
      <w:tr w:rsidR="00106992" w14:paraId="152D4E15"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18C4F59C" w14:textId="77777777" w:rsidR="00106992" w:rsidRDefault="00106992">
            <w:pPr>
              <w:spacing w:before="60" w:after="60"/>
              <w:jc w:val="both"/>
              <w:rPr>
                <w:sz w:val="20"/>
                <w:szCs w:val="20"/>
                <w:lang w:val="en-US"/>
              </w:rPr>
            </w:pPr>
            <w:r>
              <w:rPr>
                <w:sz w:val="20"/>
                <w:szCs w:val="20"/>
                <w:lang w:val="en-US"/>
              </w:rPr>
              <w:lastRenderedPageBreak/>
              <w:t>4.4</w:t>
            </w:r>
          </w:p>
        </w:tc>
        <w:tc>
          <w:tcPr>
            <w:tcW w:w="6543" w:type="dxa"/>
            <w:tcBorders>
              <w:top w:val="single" w:sz="4" w:space="0" w:color="auto"/>
              <w:left w:val="single" w:sz="4" w:space="0" w:color="auto"/>
              <w:bottom w:val="single" w:sz="4" w:space="0" w:color="auto"/>
              <w:right w:val="single" w:sz="4" w:space="0" w:color="auto"/>
            </w:tcBorders>
            <w:hideMark/>
          </w:tcPr>
          <w:p w14:paraId="570F2974" w14:textId="77777777" w:rsidR="00106992" w:rsidRDefault="00106992">
            <w:pPr>
              <w:spacing w:before="60" w:after="60"/>
              <w:jc w:val="both"/>
              <w:rPr>
                <w:sz w:val="20"/>
                <w:szCs w:val="20"/>
                <w:lang w:val="en-US"/>
              </w:rPr>
            </w:pPr>
            <w:r>
              <w:rPr>
                <w:sz w:val="20"/>
                <w:szCs w:val="20"/>
                <w:lang w:val="en-US"/>
              </w:rPr>
              <w:t>With regards to the proposed outcomes (presentation, slide 5), and in particular as related to the global and regional bodies that are to be targeted, there was a suggestion to consider whether the Global Fund is a practical target at this point, or whether the campaign should in fact focus more on other institutions, such as GFF and/ or GAVI.</w:t>
            </w:r>
          </w:p>
        </w:tc>
        <w:tc>
          <w:tcPr>
            <w:tcW w:w="1911" w:type="dxa"/>
            <w:tcBorders>
              <w:top w:val="single" w:sz="4" w:space="0" w:color="auto"/>
              <w:left w:val="single" w:sz="4" w:space="0" w:color="auto"/>
              <w:bottom w:val="single" w:sz="4" w:space="0" w:color="auto"/>
              <w:right w:val="single" w:sz="4" w:space="0" w:color="auto"/>
            </w:tcBorders>
            <w:hideMark/>
          </w:tcPr>
          <w:p w14:paraId="7BB6216D" w14:textId="77777777" w:rsidR="00106992" w:rsidRDefault="00106992" w:rsidP="00106992">
            <w:pPr>
              <w:pStyle w:val="ListParagraph"/>
              <w:numPr>
                <w:ilvl w:val="0"/>
                <w:numId w:val="37"/>
              </w:numPr>
              <w:ind w:left="210" w:hanging="240"/>
              <w:rPr>
                <w:sz w:val="20"/>
                <w:szCs w:val="20"/>
              </w:rPr>
            </w:pPr>
            <w:r>
              <w:rPr>
                <w:sz w:val="20"/>
                <w:szCs w:val="20"/>
              </w:rPr>
              <w:t>Advocacy WG</w:t>
            </w:r>
          </w:p>
        </w:tc>
      </w:tr>
      <w:tr w:rsidR="00106992" w14:paraId="444BB1AF"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06193C4C" w14:textId="56E17381" w:rsidR="00106992" w:rsidRDefault="00106992">
            <w:pPr>
              <w:spacing w:before="60" w:after="60"/>
              <w:jc w:val="both"/>
              <w:rPr>
                <w:sz w:val="20"/>
                <w:szCs w:val="20"/>
                <w:lang w:val="en-US"/>
              </w:rPr>
            </w:pPr>
            <w:r>
              <w:rPr>
                <w:sz w:val="20"/>
                <w:szCs w:val="20"/>
                <w:lang w:val="en-US"/>
              </w:rPr>
              <w:t>4.5</w:t>
            </w:r>
          </w:p>
        </w:tc>
        <w:tc>
          <w:tcPr>
            <w:tcW w:w="6543" w:type="dxa"/>
            <w:tcBorders>
              <w:top w:val="single" w:sz="4" w:space="0" w:color="auto"/>
              <w:left w:val="single" w:sz="4" w:space="0" w:color="auto"/>
              <w:bottom w:val="single" w:sz="4" w:space="0" w:color="auto"/>
              <w:right w:val="single" w:sz="4" w:space="0" w:color="auto"/>
            </w:tcBorders>
            <w:hideMark/>
          </w:tcPr>
          <w:p w14:paraId="112AD9B9" w14:textId="77777777" w:rsidR="00106992" w:rsidRDefault="00106992">
            <w:pPr>
              <w:spacing w:before="60" w:after="60"/>
              <w:jc w:val="both"/>
              <w:rPr>
                <w:sz w:val="20"/>
                <w:szCs w:val="20"/>
                <w:lang w:val="en-US"/>
              </w:rPr>
            </w:pPr>
            <w:r>
              <w:rPr>
                <w:sz w:val="20"/>
                <w:szCs w:val="20"/>
                <w:lang w:val="en-US"/>
              </w:rPr>
              <w:t xml:space="preserve">Questions raised during this discussion will continue to be explored in meetings with each of the constituencies between now and the Board, to provide further guidance to the Advocacy Working Group. </w:t>
            </w:r>
          </w:p>
        </w:tc>
        <w:tc>
          <w:tcPr>
            <w:tcW w:w="1911" w:type="dxa"/>
            <w:tcBorders>
              <w:top w:val="single" w:sz="4" w:space="0" w:color="auto"/>
              <w:left w:val="single" w:sz="4" w:space="0" w:color="auto"/>
              <w:bottom w:val="single" w:sz="4" w:space="0" w:color="auto"/>
              <w:right w:val="single" w:sz="4" w:space="0" w:color="auto"/>
            </w:tcBorders>
            <w:hideMark/>
          </w:tcPr>
          <w:p w14:paraId="33EF44D5" w14:textId="77777777" w:rsidR="00106992" w:rsidRDefault="00106992" w:rsidP="00106992">
            <w:pPr>
              <w:pStyle w:val="ListParagraph"/>
              <w:numPr>
                <w:ilvl w:val="0"/>
                <w:numId w:val="37"/>
              </w:numPr>
              <w:ind w:left="210" w:hanging="240"/>
              <w:rPr>
                <w:sz w:val="20"/>
                <w:szCs w:val="20"/>
                <w:lang w:val="en-US"/>
              </w:rPr>
            </w:pPr>
            <w:r>
              <w:rPr>
                <w:sz w:val="20"/>
                <w:szCs w:val="20"/>
                <w:lang w:val="en-US"/>
              </w:rPr>
              <w:t>Secretariat</w:t>
            </w:r>
          </w:p>
          <w:p w14:paraId="7D3062D0" w14:textId="77777777" w:rsidR="00106992" w:rsidRDefault="00106992" w:rsidP="00106992">
            <w:pPr>
              <w:pStyle w:val="ListParagraph"/>
              <w:numPr>
                <w:ilvl w:val="0"/>
                <w:numId w:val="37"/>
              </w:numPr>
              <w:ind w:left="210" w:hanging="240"/>
              <w:rPr>
                <w:sz w:val="20"/>
                <w:szCs w:val="20"/>
                <w:lang w:val="en-US"/>
              </w:rPr>
            </w:pPr>
            <w:r>
              <w:rPr>
                <w:sz w:val="20"/>
                <w:szCs w:val="20"/>
                <w:lang w:val="en-US"/>
              </w:rPr>
              <w:t>Constituencies</w:t>
            </w:r>
          </w:p>
        </w:tc>
      </w:tr>
    </w:tbl>
    <w:p w14:paraId="4569B1F9" w14:textId="77777777" w:rsidR="00106992" w:rsidRDefault="00106992" w:rsidP="00106992">
      <w:pPr>
        <w:spacing w:before="360" w:after="360" w:line="240" w:lineRule="auto"/>
        <w:jc w:val="both"/>
        <w:rPr>
          <w:b/>
          <w:color w:val="7030A0"/>
          <w:lang w:val="en-US"/>
        </w:rPr>
      </w:pPr>
      <w:r>
        <w:rPr>
          <w:b/>
          <w:color w:val="7030A0"/>
          <w:lang w:val="en-US"/>
        </w:rPr>
        <w:t>ITEM 5 – 2020 Workplan progress report, including reflection on 2021 workplan process and resource mobilization efforts</w:t>
      </w:r>
    </w:p>
    <w:tbl>
      <w:tblPr>
        <w:tblStyle w:val="TableGrid"/>
        <w:tblW w:w="0" w:type="auto"/>
        <w:tblLook w:val="04A0" w:firstRow="1" w:lastRow="0" w:firstColumn="1" w:lastColumn="0" w:noHBand="0" w:noVBand="1"/>
      </w:tblPr>
      <w:tblGrid>
        <w:gridCol w:w="562"/>
        <w:gridCol w:w="6543"/>
        <w:gridCol w:w="1911"/>
      </w:tblGrid>
      <w:tr w:rsidR="00106992" w14:paraId="758C016B" w14:textId="77777777" w:rsidTr="00106992">
        <w:trPr>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D7B1F" w14:textId="77777777" w:rsidR="00106992" w:rsidRDefault="00106992">
            <w:pPr>
              <w:spacing w:before="120" w:after="120"/>
              <w:jc w:val="both"/>
              <w:rPr>
                <w:b/>
                <w:sz w:val="20"/>
                <w:szCs w:val="20"/>
                <w:lang w:val="en-US"/>
              </w:rPr>
            </w:pPr>
          </w:p>
        </w:tc>
        <w:tc>
          <w:tcPr>
            <w:tcW w:w="6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909B1" w14:textId="77777777" w:rsidR="00106992" w:rsidRDefault="00106992">
            <w:pPr>
              <w:spacing w:before="120" w:after="120"/>
              <w:jc w:val="both"/>
              <w:rPr>
                <w:b/>
                <w:sz w:val="20"/>
                <w:szCs w:val="20"/>
                <w:lang w:val="en-US"/>
              </w:rPr>
            </w:pPr>
            <w:r>
              <w:rPr>
                <w:b/>
                <w:sz w:val="20"/>
                <w:szCs w:val="20"/>
                <w:lang w:val="en-US"/>
              </w:rPr>
              <w:t>Decision / Action</w:t>
            </w:r>
          </w:p>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56BFA" w14:textId="77777777" w:rsidR="00106992" w:rsidRDefault="00106992">
            <w:pPr>
              <w:spacing w:before="120" w:after="120"/>
              <w:jc w:val="both"/>
              <w:rPr>
                <w:b/>
                <w:sz w:val="20"/>
                <w:szCs w:val="20"/>
                <w:lang w:val="en-US"/>
              </w:rPr>
            </w:pPr>
            <w:r>
              <w:rPr>
                <w:b/>
                <w:sz w:val="20"/>
                <w:szCs w:val="20"/>
                <w:lang w:val="en-US"/>
              </w:rPr>
              <w:t>Responsibility</w:t>
            </w:r>
          </w:p>
        </w:tc>
      </w:tr>
      <w:tr w:rsidR="00106992" w14:paraId="53E1D651"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171F4BE1" w14:textId="77777777" w:rsidR="00106992" w:rsidRDefault="00106992">
            <w:pPr>
              <w:spacing w:before="60" w:after="60"/>
              <w:jc w:val="both"/>
              <w:rPr>
                <w:sz w:val="20"/>
                <w:szCs w:val="20"/>
                <w:lang w:val="en-US"/>
              </w:rPr>
            </w:pPr>
            <w:r>
              <w:rPr>
                <w:sz w:val="20"/>
                <w:szCs w:val="20"/>
                <w:lang w:val="en-US"/>
              </w:rPr>
              <w:t>5.1</w:t>
            </w:r>
          </w:p>
        </w:tc>
        <w:tc>
          <w:tcPr>
            <w:tcW w:w="6543" w:type="dxa"/>
            <w:tcBorders>
              <w:top w:val="single" w:sz="4" w:space="0" w:color="auto"/>
              <w:left w:val="single" w:sz="4" w:space="0" w:color="auto"/>
              <w:bottom w:val="single" w:sz="4" w:space="0" w:color="auto"/>
              <w:right w:val="single" w:sz="4" w:space="0" w:color="auto"/>
            </w:tcBorders>
            <w:hideMark/>
          </w:tcPr>
          <w:p w14:paraId="26AEB9CD" w14:textId="77777777" w:rsidR="00106992" w:rsidRDefault="00106992">
            <w:pPr>
              <w:spacing w:before="60" w:after="60"/>
              <w:jc w:val="both"/>
              <w:rPr>
                <w:sz w:val="20"/>
                <w:szCs w:val="20"/>
                <w:lang w:val="en-US"/>
              </w:rPr>
            </w:pPr>
            <w:r>
              <w:rPr>
                <w:sz w:val="20"/>
                <w:szCs w:val="20"/>
                <w:lang w:val="en-US"/>
              </w:rPr>
              <w:t>The EC appreciated and commended all the focus and work completed in 2020. The presentation will be shared with the Executive Committee members, and its content will be discussed in meetings with individual constituencies in advance of the Board.</w:t>
            </w:r>
          </w:p>
        </w:tc>
        <w:tc>
          <w:tcPr>
            <w:tcW w:w="1911" w:type="dxa"/>
            <w:tcBorders>
              <w:top w:val="single" w:sz="4" w:space="0" w:color="auto"/>
              <w:left w:val="single" w:sz="4" w:space="0" w:color="auto"/>
              <w:bottom w:val="single" w:sz="4" w:space="0" w:color="auto"/>
              <w:right w:val="single" w:sz="4" w:space="0" w:color="auto"/>
            </w:tcBorders>
            <w:hideMark/>
          </w:tcPr>
          <w:p w14:paraId="181AB6C1" w14:textId="77777777" w:rsidR="00106992" w:rsidRDefault="00106992">
            <w:pPr>
              <w:spacing w:before="60" w:after="60"/>
              <w:jc w:val="both"/>
              <w:rPr>
                <w:sz w:val="20"/>
                <w:szCs w:val="20"/>
                <w:lang w:val="en-US"/>
              </w:rPr>
            </w:pPr>
            <w:r>
              <w:rPr>
                <w:sz w:val="20"/>
                <w:szCs w:val="20"/>
                <w:lang w:val="en-US"/>
              </w:rPr>
              <w:t>Secretariat</w:t>
            </w:r>
          </w:p>
        </w:tc>
      </w:tr>
      <w:tr w:rsidR="00106992" w14:paraId="54079CFF"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19E7B0DA" w14:textId="77777777" w:rsidR="00106992" w:rsidRDefault="00106992">
            <w:pPr>
              <w:spacing w:before="60" w:after="60"/>
              <w:jc w:val="both"/>
              <w:rPr>
                <w:sz w:val="20"/>
                <w:szCs w:val="20"/>
                <w:lang w:val="en-US"/>
              </w:rPr>
            </w:pPr>
            <w:r>
              <w:rPr>
                <w:sz w:val="20"/>
                <w:szCs w:val="20"/>
                <w:lang w:val="en-US"/>
              </w:rPr>
              <w:t>5.2</w:t>
            </w:r>
          </w:p>
        </w:tc>
        <w:tc>
          <w:tcPr>
            <w:tcW w:w="6543" w:type="dxa"/>
            <w:tcBorders>
              <w:top w:val="single" w:sz="4" w:space="0" w:color="auto"/>
              <w:left w:val="single" w:sz="4" w:space="0" w:color="auto"/>
              <w:bottom w:val="single" w:sz="4" w:space="0" w:color="auto"/>
              <w:right w:val="single" w:sz="4" w:space="0" w:color="auto"/>
            </w:tcBorders>
            <w:hideMark/>
          </w:tcPr>
          <w:p w14:paraId="68786359" w14:textId="77777777" w:rsidR="00106992" w:rsidRDefault="00106992">
            <w:pPr>
              <w:spacing w:before="60" w:after="60"/>
              <w:jc w:val="both"/>
              <w:rPr>
                <w:sz w:val="20"/>
                <w:szCs w:val="20"/>
                <w:lang w:val="en-US"/>
              </w:rPr>
            </w:pPr>
            <w:r>
              <w:rPr>
                <w:sz w:val="20"/>
                <w:szCs w:val="20"/>
                <w:lang w:val="en-US"/>
              </w:rPr>
              <w:t>It was suggested that at least one person from each standing committee and Working Group is invited to be part of a taskforce that will take forward the development of the PMNCH Results Framework.</w:t>
            </w:r>
          </w:p>
        </w:tc>
        <w:tc>
          <w:tcPr>
            <w:tcW w:w="1911" w:type="dxa"/>
            <w:tcBorders>
              <w:top w:val="single" w:sz="4" w:space="0" w:color="auto"/>
              <w:left w:val="single" w:sz="4" w:space="0" w:color="auto"/>
              <w:bottom w:val="single" w:sz="4" w:space="0" w:color="auto"/>
              <w:right w:val="single" w:sz="4" w:space="0" w:color="auto"/>
            </w:tcBorders>
            <w:hideMark/>
          </w:tcPr>
          <w:p w14:paraId="6D884A76" w14:textId="77777777" w:rsidR="00106992" w:rsidRDefault="00106992" w:rsidP="00106992">
            <w:pPr>
              <w:pStyle w:val="ListParagraph"/>
              <w:numPr>
                <w:ilvl w:val="0"/>
                <w:numId w:val="37"/>
              </w:numPr>
              <w:ind w:left="210" w:hanging="240"/>
              <w:rPr>
                <w:sz w:val="20"/>
                <w:szCs w:val="20"/>
              </w:rPr>
            </w:pPr>
            <w:r>
              <w:rPr>
                <w:sz w:val="20"/>
                <w:szCs w:val="20"/>
              </w:rPr>
              <w:t>Secretariat</w:t>
            </w:r>
          </w:p>
          <w:p w14:paraId="209D77BF" w14:textId="77777777" w:rsidR="00106992" w:rsidRDefault="00106992" w:rsidP="00106992">
            <w:pPr>
              <w:pStyle w:val="ListParagraph"/>
              <w:numPr>
                <w:ilvl w:val="0"/>
                <w:numId w:val="37"/>
              </w:numPr>
              <w:ind w:left="210" w:hanging="240"/>
              <w:rPr>
                <w:sz w:val="20"/>
                <w:szCs w:val="20"/>
              </w:rPr>
            </w:pPr>
            <w:r>
              <w:rPr>
                <w:sz w:val="20"/>
                <w:szCs w:val="20"/>
              </w:rPr>
              <w:t>Working Groups</w:t>
            </w:r>
          </w:p>
        </w:tc>
      </w:tr>
      <w:tr w:rsidR="00106992" w14:paraId="619CFBA9"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431ECED5" w14:textId="77777777" w:rsidR="00106992" w:rsidRDefault="00106992">
            <w:pPr>
              <w:spacing w:before="60" w:after="60"/>
              <w:jc w:val="both"/>
              <w:rPr>
                <w:sz w:val="20"/>
                <w:szCs w:val="20"/>
                <w:lang w:val="en-US"/>
              </w:rPr>
            </w:pPr>
            <w:r>
              <w:rPr>
                <w:sz w:val="20"/>
                <w:szCs w:val="20"/>
                <w:lang w:val="en-US"/>
              </w:rPr>
              <w:t>5.3</w:t>
            </w:r>
          </w:p>
        </w:tc>
        <w:tc>
          <w:tcPr>
            <w:tcW w:w="6543" w:type="dxa"/>
            <w:tcBorders>
              <w:top w:val="single" w:sz="4" w:space="0" w:color="auto"/>
              <w:left w:val="single" w:sz="4" w:space="0" w:color="auto"/>
              <w:bottom w:val="single" w:sz="4" w:space="0" w:color="auto"/>
              <w:right w:val="single" w:sz="4" w:space="0" w:color="auto"/>
            </w:tcBorders>
            <w:hideMark/>
          </w:tcPr>
          <w:p w14:paraId="0FF1A650" w14:textId="77777777" w:rsidR="00106992" w:rsidRDefault="00106992">
            <w:pPr>
              <w:spacing w:before="60" w:after="60"/>
              <w:jc w:val="both"/>
              <w:rPr>
                <w:sz w:val="20"/>
                <w:szCs w:val="20"/>
                <w:lang w:val="en-US"/>
              </w:rPr>
            </w:pPr>
            <w:r>
              <w:rPr>
                <w:sz w:val="20"/>
                <w:szCs w:val="20"/>
                <w:lang w:val="en-US"/>
              </w:rPr>
              <w:t>Considering the Results Framework, there is merit in considering ways in which this framework could describe the “force multiplier effect” of different parts of PMNCH working together (partners, secretariat, Board etc.), potentially considering ways in which it may be possible to show contributions by the Secretariat and those by the Partners.</w:t>
            </w:r>
          </w:p>
        </w:tc>
        <w:tc>
          <w:tcPr>
            <w:tcW w:w="1911" w:type="dxa"/>
            <w:tcBorders>
              <w:top w:val="single" w:sz="4" w:space="0" w:color="auto"/>
              <w:left w:val="single" w:sz="4" w:space="0" w:color="auto"/>
              <w:bottom w:val="single" w:sz="4" w:space="0" w:color="auto"/>
              <w:right w:val="single" w:sz="4" w:space="0" w:color="auto"/>
            </w:tcBorders>
            <w:hideMark/>
          </w:tcPr>
          <w:p w14:paraId="4485F1E0" w14:textId="77777777" w:rsidR="00106992" w:rsidRDefault="00106992" w:rsidP="00106992">
            <w:pPr>
              <w:pStyle w:val="ListParagraph"/>
              <w:numPr>
                <w:ilvl w:val="0"/>
                <w:numId w:val="37"/>
              </w:numPr>
              <w:ind w:left="210" w:hanging="240"/>
              <w:rPr>
                <w:sz w:val="20"/>
                <w:szCs w:val="20"/>
              </w:rPr>
            </w:pPr>
            <w:r>
              <w:rPr>
                <w:sz w:val="20"/>
                <w:szCs w:val="20"/>
              </w:rPr>
              <w:t>Secretariat</w:t>
            </w:r>
          </w:p>
        </w:tc>
      </w:tr>
      <w:tr w:rsidR="00106992" w14:paraId="30BDE95D"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5E6F61B4" w14:textId="151BAD89" w:rsidR="00106992" w:rsidRDefault="00106992">
            <w:pPr>
              <w:spacing w:before="60" w:after="60"/>
              <w:jc w:val="both"/>
              <w:rPr>
                <w:sz w:val="20"/>
                <w:szCs w:val="20"/>
                <w:lang w:val="en-US"/>
              </w:rPr>
            </w:pPr>
            <w:r>
              <w:rPr>
                <w:sz w:val="20"/>
                <w:szCs w:val="20"/>
                <w:lang w:val="en-US"/>
              </w:rPr>
              <w:t>5.4</w:t>
            </w:r>
          </w:p>
        </w:tc>
        <w:tc>
          <w:tcPr>
            <w:tcW w:w="6543" w:type="dxa"/>
            <w:tcBorders>
              <w:top w:val="single" w:sz="4" w:space="0" w:color="auto"/>
              <w:left w:val="single" w:sz="4" w:space="0" w:color="auto"/>
              <w:bottom w:val="single" w:sz="4" w:space="0" w:color="auto"/>
              <w:right w:val="single" w:sz="4" w:space="0" w:color="auto"/>
            </w:tcBorders>
            <w:hideMark/>
          </w:tcPr>
          <w:p w14:paraId="72041206" w14:textId="77777777" w:rsidR="00106992" w:rsidRDefault="00106992">
            <w:pPr>
              <w:spacing w:before="60" w:after="60"/>
              <w:jc w:val="both"/>
              <w:rPr>
                <w:sz w:val="20"/>
                <w:szCs w:val="20"/>
                <w:lang w:val="en-US"/>
              </w:rPr>
            </w:pPr>
            <w:r>
              <w:rPr>
                <w:sz w:val="20"/>
                <w:szCs w:val="20"/>
                <w:lang w:val="en-US"/>
              </w:rPr>
              <w:t>Secretariat will be seeking support from the Executive Committee in its work on Resource Mobilization for its 2021 to 2025 Strategy.</w:t>
            </w:r>
          </w:p>
        </w:tc>
        <w:tc>
          <w:tcPr>
            <w:tcW w:w="1911" w:type="dxa"/>
            <w:tcBorders>
              <w:top w:val="single" w:sz="4" w:space="0" w:color="auto"/>
              <w:left w:val="single" w:sz="4" w:space="0" w:color="auto"/>
              <w:bottom w:val="single" w:sz="4" w:space="0" w:color="auto"/>
              <w:right w:val="single" w:sz="4" w:space="0" w:color="auto"/>
            </w:tcBorders>
            <w:hideMark/>
          </w:tcPr>
          <w:p w14:paraId="21347601" w14:textId="77777777" w:rsidR="00106992" w:rsidRDefault="00106992" w:rsidP="00106992">
            <w:pPr>
              <w:pStyle w:val="ListParagraph"/>
              <w:numPr>
                <w:ilvl w:val="0"/>
                <w:numId w:val="37"/>
              </w:numPr>
              <w:ind w:left="210" w:hanging="240"/>
              <w:rPr>
                <w:sz w:val="20"/>
                <w:szCs w:val="20"/>
                <w:lang w:val="en-US"/>
              </w:rPr>
            </w:pPr>
            <w:r>
              <w:rPr>
                <w:sz w:val="20"/>
                <w:szCs w:val="20"/>
              </w:rPr>
              <w:t>Secretariat</w:t>
            </w:r>
          </w:p>
          <w:p w14:paraId="749FC7B9" w14:textId="77777777" w:rsidR="00106992" w:rsidRDefault="00106992" w:rsidP="00106992">
            <w:pPr>
              <w:pStyle w:val="ListParagraph"/>
              <w:numPr>
                <w:ilvl w:val="0"/>
                <w:numId w:val="37"/>
              </w:numPr>
              <w:ind w:left="210" w:hanging="240"/>
              <w:rPr>
                <w:sz w:val="20"/>
                <w:szCs w:val="20"/>
                <w:lang w:val="en-US"/>
              </w:rPr>
            </w:pPr>
            <w:r>
              <w:rPr>
                <w:sz w:val="20"/>
                <w:szCs w:val="20"/>
                <w:lang w:val="en-US"/>
              </w:rPr>
              <w:t>EC</w:t>
            </w:r>
          </w:p>
        </w:tc>
      </w:tr>
    </w:tbl>
    <w:p w14:paraId="00AE50A8" w14:textId="77777777" w:rsidR="00106992" w:rsidRDefault="00106992" w:rsidP="00106992">
      <w:pPr>
        <w:spacing w:before="360" w:after="360" w:line="240" w:lineRule="auto"/>
        <w:jc w:val="both"/>
        <w:rPr>
          <w:b/>
          <w:color w:val="7030A0"/>
          <w:lang w:val="en-US"/>
        </w:rPr>
      </w:pPr>
      <w:r>
        <w:rPr>
          <w:b/>
          <w:color w:val="7030A0"/>
          <w:lang w:val="en-US"/>
        </w:rPr>
        <w:t>ITEM 6 – Any other business</w:t>
      </w:r>
    </w:p>
    <w:tbl>
      <w:tblPr>
        <w:tblStyle w:val="TableGrid"/>
        <w:tblW w:w="0" w:type="auto"/>
        <w:tblLook w:val="04A0" w:firstRow="1" w:lastRow="0" w:firstColumn="1" w:lastColumn="0" w:noHBand="0" w:noVBand="1"/>
      </w:tblPr>
      <w:tblGrid>
        <w:gridCol w:w="562"/>
        <w:gridCol w:w="6543"/>
        <w:gridCol w:w="1911"/>
      </w:tblGrid>
      <w:tr w:rsidR="00106992" w14:paraId="27A647F1" w14:textId="77777777" w:rsidTr="00106992">
        <w:trPr>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8F587" w14:textId="77777777" w:rsidR="00106992" w:rsidRDefault="00106992">
            <w:pPr>
              <w:spacing w:before="120" w:after="120"/>
              <w:jc w:val="both"/>
              <w:rPr>
                <w:b/>
                <w:sz w:val="20"/>
                <w:szCs w:val="20"/>
                <w:lang w:val="en-US"/>
              </w:rPr>
            </w:pPr>
          </w:p>
        </w:tc>
        <w:tc>
          <w:tcPr>
            <w:tcW w:w="6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D0143D" w14:textId="77777777" w:rsidR="00106992" w:rsidRDefault="00106992">
            <w:pPr>
              <w:spacing w:before="120" w:after="120"/>
              <w:jc w:val="both"/>
              <w:rPr>
                <w:b/>
                <w:sz w:val="20"/>
                <w:szCs w:val="20"/>
                <w:lang w:val="en-US"/>
              </w:rPr>
            </w:pPr>
            <w:r>
              <w:rPr>
                <w:b/>
                <w:sz w:val="20"/>
                <w:szCs w:val="20"/>
                <w:lang w:val="en-US"/>
              </w:rPr>
              <w:t>Decision / Action</w:t>
            </w:r>
          </w:p>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51F16" w14:textId="77777777" w:rsidR="00106992" w:rsidRDefault="00106992">
            <w:pPr>
              <w:spacing w:before="120" w:after="120"/>
              <w:jc w:val="both"/>
              <w:rPr>
                <w:b/>
                <w:sz w:val="20"/>
                <w:szCs w:val="20"/>
                <w:lang w:val="en-US"/>
              </w:rPr>
            </w:pPr>
            <w:r>
              <w:rPr>
                <w:b/>
                <w:sz w:val="20"/>
                <w:szCs w:val="20"/>
                <w:lang w:val="en-US"/>
              </w:rPr>
              <w:t>Responsibility</w:t>
            </w:r>
          </w:p>
        </w:tc>
      </w:tr>
      <w:tr w:rsidR="00106992" w14:paraId="073072DB"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3122B4D4" w14:textId="77777777" w:rsidR="00106992" w:rsidRDefault="00106992">
            <w:pPr>
              <w:spacing w:before="60" w:after="60"/>
              <w:jc w:val="both"/>
              <w:rPr>
                <w:sz w:val="20"/>
                <w:szCs w:val="20"/>
                <w:lang w:val="en-US"/>
              </w:rPr>
            </w:pPr>
            <w:r>
              <w:rPr>
                <w:sz w:val="20"/>
                <w:szCs w:val="20"/>
                <w:lang w:val="en-US"/>
              </w:rPr>
              <w:t>6.1</w:t>
            </w:r>
          </w:p>
        </w:tc>
        <w:tc>
          <w:tcPr>
            <w:tcW w:w="6543" w:type="dxa"/>
            <w:tcBorders>
              <w:top w:val="single" w:sz="4" w:space="0" w:color="auto"/>
              <w:left w:val="single" w:sz="4" w:space="0" w:color="auto"/>
              <w:bottom w:val="single" w:sz="4" w:space="0" w:color="auto"/>
              <w:right w:val="single" w:sz="4" w:space="0" w:color="auto"/>
            </w:tcBorders>
            <w:hideMark/>
          </w:tcPr>
          <w:p w14:paraId="1B7FFF69" w14:textId="77777777" w:rsidR="00106992" w:rsidRDefault="00106992">
            <w:pPr>
              <w:spacing w:before="60" w:after="60"/>
              <w:jc w:val="both"/>
              <w:rPr>
                <w:sz w:val="20"/>
                <w:szCs w:val="20"/>
                <w:lang w:val="en-US"/>
              </w:rPr>
            </w:pPr>
            <w:r>
              <w:rPr>
                <w:sz w:val="20"/>
                <w:szCs w:val="20"/>
                <w:lang w:val="en-US"/>
              </w:rPr>
              <w:t>No objections to the Draft Agenda for the PMNCH 26th Virtual Board meeting.</w:t>
            </w:r>
          </w:p>
        </w:tc>
        <w:tc>
          <w:tcPr>
            <w:tcW w:w="1911" w:type="dxa"/>
            <w:tcBorders>
              <w:top w:val="single" w:sz="4" w:space="0" w:color="auto"/>
              <w:left w:val="single" w:sz="4" w:space="0" w:color="auto"/>
              <w:bottom w:val="single" w:sz="4" w:space="0" w:color="auto"/>
              <w:right w:val="single" w:sz="4" w:space="0" w:color="auto"/>
            </w:tcBorders>
            <w:hideMark/>
          </w:tcPr>
          <w:p w14:paraId="1876232F" w14:textId="77777777" w:rsidR="00106992" w:rsidRDefault="00106992">
            <w:pPr>
              <w:spacing w:before="60" w:after="60"/>
              <w:jc w:val="both"/>
              <w:rPr>
                <w:sz w:val="20"/>
                <w:szCs w:val="20"/>
                <w:lang w:val="en-US"/>
              </w:rPr>
            </w:pPr>
            <w:r>
              <w:rPr>
                <w:sz w:val="20"/>
                <w:szCs w:val="20"/>
                <w:lang w:val="en-US"/>
              </w:rPr>
              <w:t>Secretariat</w:t>
            </w:r>
          </w:p>
        </w:tc>
      </w:tr>
      <w:tr w:rsidR="00106992" w14:paraId="3FB1B887" w14:textId="77777777" w:rsidTr="00106992">
        <w:trPr>
          <w:cantSplit/>
        </w:trPr>
        <w:tc>
          <w:tcPr>
            <w:tcW w:w="562" w:type="dxa"/>
            <w:tcBorders>
              <w:top w:val="single" w:sz="4" w:space="0" w:color="auto"/>
              <w:left w:val="single" w:sz="4" w:space="0" w:color="auto"/>
              <w:bottom w:val="single" w:sz="4" w:space="0" w:color="auto"/>
              <w:right w:val="single" w:sz="4" w:space="0" w:color="auto"/>
            </w:tcBorders>
            <w:hideMark/>
          </w:tcPr>
          <w:p w14:paraId="68B2F88C" w14:textId="77777777" w:rsidR="00106992" w:rsidRDefault="00106992">
            <w:pPr>
              <w:spacing w:before="60" w:after="60"/>
              <w:jc w:val="both"/>
              <w:rPr>
                <w:sz w:val="20"/>
                <w:szCs w:val="20"/>
                <w:lang w:val="en-US"/>
              </w:rPr>
            </w:pPr>
            <w:r>
              <w:rPr>
                <w:sz w:val="20"/>
                <w:szCs w:val="20"/>
                <w:lang w:val="en-US"/>
              </w:rPr>
              <w:t>6.2</w:t>
            </w:r>
          </w:p>
        </w:tc>
        <w:tc>
          <w:tcPr>
            <w:tcW w:w="6543" w:type="dxa"/>
            <w:tcBorders>
              <w:top w:val="single" w:sz="4" w:space="0" w:color="auto"/>
              <w:left w:val="single" w:sz="4" w:space="0" w:color="auto"/>
              <w:bottom w:val="single" w:sz="4" w:space="0" w:color="auto"/>
              <w:right w:val="single" w:sz="4" w:space="0" w:color="auto"/>
            </w:tcBorders>
            <w:hideMark/>
          </w:tcPr>
          <w:p w14:paraId="34F60D85" w14:textId="77777777" w:rsidR="00106992" w:rsidRDefault="00106992">
            <w:pPr>
              <w:spacing w:before="60" w:after="60"/>
              <w:jc w:val="both"/>
              <w:rPr>
                <w:sz w:val="20"/>
                <w:szCs w:val="20"/>
                <w:lang w:val="en-US"/>
              </w:rPr>
            </w:pPr>
            <w:r>
              <w:rPr>
                <w:sz w:val="20"/>
                <w:szCs w:val="20"/>
                <w:lang w:val="en-US"/>
              </w:rPr>
              <w:t>No objections to the Draft Agenda for the Lives in the Balance part 2 virtual summit.</w:t>
            </w:r>
          </w:p>
        </w:tc>
        <w:tc>
          <w:tcPr>
            <w:tcW w:w="1911" w:type="dxa"/>
            <w:tcBorders>
              <w:top w:val="single" w:sz="4" w:space="0" w:color="auto"/>
              <w:left w:val="single" w:sz="4" w:space="0" w:color="auto"/>
              <w:bottom w:val="single" w:sz="4" w:space="0" w:color="auto"/>
              <w:right w:val="single" w:sz="4" w:space="0" w:color="auto"/>
            </w:tcBorders>
            <w:hideMark/>
          </w:tcPr>
          <w:p w14:paraId="5E71680E" w14:textId="77777777" w:rsidR="00106992" w:rsidRDefault="00106992">
            <w:pPr>
              <w:spacing w:before="60" w:after="60"/>
              <w:jc w:val="both"/>
              <w:rPr>
                <w:sz w:val="20"/>
                <w:szCs w:val="20"/>
                <w:lang w:val="en-US"/>
              </w:rPr>
            </w:pPr>
            <w:r>
              <w:rPr>
                <w:sz w:val="20"/>
                <w:szCs w:val="20"/>
                <w:lang w:val="en-US"/>
              </w:rPr>
              <w:t>Secretariat</w:t>
            </w:r>
          </w:p>
        </w:tc>
      </w:tr>
    </w:tbl>
    <w:p w14:paraId="2000EBE9" w14:textId="77777777" w:rsidR="00106992" w:rsidRDefault="00106992" w:rsidP="00106992">
      <w:pPr>
        <w:spacing w:before="360" w:after="360" w:line="240" w:lineRule="auto"/>
        <w:jc w:val="both"/>
        <w:rPr>
          <w:b/>
          <w:color w:val="7030A0"/>
          <w:lang w:val="en-US"/>
        </w:rPr>
      </w:pPr>
    </w:p>
    <w:p w14:paraId="0B59766B" w14:textId="77777777" w:rsidR="00224070" w:rsidRDefault="00224070" w:rsidP="00224070">
      <w:pPr>
        <w:spacing w:before="360" w:after="360" w:line="240" w:lineRule="auto"/>
        <w:jc w:val="both"/>
        <w:rPr>
          <w:b/>
          <w:color w:val="7030A0"/>
          <w:lang w:val="en-US"/>
        </w:rPr>
      </w:pPr>
    </w:p>
    <w:p w14:paraId="2A1DDBF8" w14:textId="6297D472" w:rsidR="00B36DA6" w:rsidRDefault="00B36DA6">
      <w:pPr>
        <w:rPr>
          <w:rFonts w:ascii="Calibri" w:hAnsi="Calibri" w:cs="Calibri"/>
          <w:b/>
          <w:bCs/>
          <w:smallCaps/>
          <w:color w:val="7030A0"/>
          <w:sz w:val="28"/>
          <w:szCs w:val="24"/>
        </w:rPr>
      </w:pPr>
    </w:p>
    <w:p w14:paraId="679182E3" w14:textId="6FEB1F54" w:rsidR="00EA048A" w:rsidRPr="004F324D" w:rsidRDefault="00EA048A" w:rsidP="00EA048A">
      <w:pPr>
        <w:spacing w:before="360" w:after="360" w:line="240" w:lineRule="auto"/>
        <w:jc w:val="both"/>
        <w:rPr>
          <w:rFonts w:ascii="Calibri" w:hAnsi="Calibri" w:cs="Calibri"/>
          <w:b/>
          <w:bCs/>
          <w:smallCaps/>
          <w:color w:val="7030A0"/>
          <w:sz w:val="28"/>
          <w:szCs w:val="24"/>
        </w:rPr>
      </w:pPr>
      <w:r w:rsidRPr="004F324D">
        <w:rPr>
          <w:rFonts w:ascii="Calibri" w:hAnsi="Calibri" w:cs="Calibri"/>
          <w:b/>
          <w:bCs/>
          <w:smallCaps/>
          <w:color w:val="7030A0"/>
          <w:sz w:val="28"/>
          <w:szCs w:val="24"/>
        </w:rPr>
        <w:lastRenderedPageBreak/>
        <w:t xml:space="preserve">Summary of </w:t>
      </w:r>
      <w:r>
        <w:rPr>
          <w:rFonts w:ascii="Calibri" w:hAnsi="Calibri" w:cs="Calibri"/>
          <w:b/>
          <w:bCs/>
          <w:smallCaps/>
          <w:color w:val="7030A0"/>
          <w:sz w:val="28"/>
          <w:szCs w:val="24"/>
        </w:rPr>
        <w:t>discussions</w:t>
      </w:r>
    </w:p>
    <w:p w14:paraId="37AA26F6" w14:textId="2EDD37A3" w:rsidR="00BD3DAA" w:rsidRDefault="008E21E5" w:rsidP="00BD3DAA">
      <w:pPr>
        <w:pStyle w:val="ListParagraph"/>
        <w:numPr>
          <w:ilvl w:val="0"/>
          <w:numId w:val="26"/>
        </w:numPr>
        <w:spacing w:before="360" w:after="360" w:line="240" w:lineRule="auto"/>
        <w:jc w:val="both"/>
        <w:rPr>
          <w:b/>
          <w:color w:val="7030A0"/>
          <w:lang w:val="en-US"/>
        </w:rPr>
      </w:pPr>
      <w:r w:rsidRPr="008E21E5">
        <w:rPr>
          <w:b/>
          <w:color w:val="7030A0"/>
          <w:lang w:val="en-US"/>
        </w:rPr>
        <w:t>ITEM 1 – Adoption of the Agenda and Note for the Record from previous meeting</w:t>
      </w:r>
    </w:p>
    <w:p w14:paraId="20AED9AB" w14:textId="015CB478" w:rsidR="00D00687" w:rsidRPr="00D00687" w:rsidRDefault="00D00687" w:rsidP="00D00687">
      <w:pPr>
        <w:jc w:val="both"/>
        <w:rPr>
          <w:b/>
          <w:u w:val="single"/>
        </w:rPr>
      </w:pPr>
      <w:r w:rsidRPr="00D00687">
        <w:rPr>
          <w:b/>
          <w:u w:val="single"/>
        </w:rPr>
        <w:t>Introduction from the Chair</w:t>
      </w:r>
    </w:p>
    <w:p w14:paraId="3121430B" w14:textId="7C1F5357" w:rsidR="00E5384E" w:rsidRDefault="00D00687" w:rsidP="006619F9">
      <w:pPr>
        <w:pStyle w:val="ListParagraph"/>
        <w:numPr>
          <w:ilvl w:val="0"/>
          <w:numId w:val="32"/>
        </w:numPr>
        <w:spacing w:before="120" w:after="120" w:line="240" w:lineRule="auto"/>
        <w:contextualSpacing w:val="0"/>
        <w:jc w:val="both"/>
      </w:pPr>
      <w:r>
        <w:t>On behalf of the Executive Committee</w:t>
      </w:r>
      <w:r w:rsidR="00E5384E">
        <w:t xml:space="preserve"> (EC)</w:t>
      </w:r>
      <w:r>
        <w:t xml:space="preserve">, </w:t>
      </w:r>
      <w:r w:rsidR="00E665FA">
        <w:t xml:space="preserve">the Chair </w:t>
      </w:r>
      <w:r>
        <w:t>thank</w:t>
      </w:r>
      <w:r w:rsidR="00A628AB">
        <w:t>ed</w:t>
      </w:r>
      <w:r>
        <w:t xml:space="preserve"> </w:t>
      </w:r>
      <w:r w:rsidR="00E665FA">
        <w:t xml:space="preserve">all those involved in preparing an excellent agenda </w:t>
      </w:r>
      <w:r w:rsidR="00E5384E">
        <w:t xml:space="preserve">for this meeting, </w:t>
      </w:r>
      <w:r w:rsidR="00E665FA">
        <w:t xml:space="preserve">and </w:t>
      </w:r>
      <w:r w:rsidR="00E5384E">
        <w:t xml:space="preserve">all the </w:t>
      </w:r>
      <w:r w:rsidR="00E665FA">
        <w:t>supporting papers</w:t>
      </w:r>
      <w:r w:rsidR="00E5384E">
        <w:t xml:space="preserve"> that were shared in advance.</w:t>
      </w:r>
    </w:p>
    <w:p w14:paraId="59377D98" w14:textId="6F199729" w:rsidR="00A974CE" w:rsidRDefault="00E5384E" w:rsidP="006619F9">
      <w:pPr>
        <w:pStyle w:val="ListParagraph"/>
        <w:numPr>
          <w:ilvl w:val="0"/>
          <w:numId w:val="32"/>
        </w:numPr>
        <w:spacing w:before="120" w:after="120" w:line="240" w:lineRule="auto"/>
        <w:contextualSpacing w:val="0"/>
        <w:jc w:val="both"/>
      </w:pPr>
      <w:r>
        <w:t xml:space="preserve">It was noted that the EC meets towards the end of a very exciting and successful year </w:t>
      </w:r>
      <w:r w:rsidR="00A974CE">
        <w:t>for the Partnership</w:t>
      </w:r>
      <w:r w:rsidR="00D405A0">
        <w:t xml:space="preserve">. During 2020, a </w:t>
      </w:r>
      <w:r w:rsidR="00A974CE">
        <w:t xml:space="preserve">new and </w:t>
      </w:r>
      <w:r w:rsidR="00A628AB">
        <w:t>inspiring</w:t>
      </w:r>
      <w:r w:rsidR="003F5940">
        <w:t xml:space="preserve"> PMNCH 2021 to 2025 </w:t>
      </w:r>
      <w:r w:rsidR="00A628AB">
        <w:t xml:space="preserve">Strategy </w:t>
      </w:r>
      <w:r w:rsidR="003F5940">
        <w:t xml:space="preserve">was launched, </w:t>
      </w:r>
      <w:r w:rsidR="00AD55DF">
        <w:t xml:space="preserve">important work was delivered, </w:t>
      </w:r>
      <w:r w:rsidR="003F5940">
        <w:t xml:space="preserve">digital </w:t>
      </w:r>
      <w:r w:rsidR="00AD55DF">
        <w:t>action plan developed</w:t>
      </w:r>
      <w:r w:rsidR="003F5940">
        <w:t>, update to branding</w:t>
      </w:r>
      <w:r w:rsidR="00A628AB">
        <w:t xml:space="preserve"> proposed</w:t>
      </w:r>
      <w:r w:rsidR="003F5940">
        <w:t xml:space="preserve">, etc. </w:t>
      </w:r>
      <w:r w:rsidR="005C2AD7">
        <w:t xml:space="preserve">All of this has led to the </w:t>
      </w:r>
      <w:r w:rsidR="003F5940">
        <w:t xml:space="preserve">Partnership being </w:t>
      </w:r>
      <w:r w:rsidR="006619F9">
        <w:t xml:space="preserve">in a strong position to </w:t>
      </w:r>
      <w:r w:rsidR="005C2AD7">
        <w:t xml:space="preserve">start implementing its new </w:t>
      </w:r>
      <w:r w:rsidR="00326863">
        <w:t>Strategy</w:t>
      </w:r>
      <w:r w:rsidR="005C2AD7">
        <w:t xml:space="preserve"> from January 2021</w:t>
      </w:r>
      <w:r w:rsidR="00326863">
        <w:t xml:space="preserve">. </w:t>
      </w:r>
    </w:p>
    <w:p w14:paraId="3A536F04" w14:textId="18009C4C" w:rsidR="001E317A" w:rsidRPr="00CF6197" w:rsidRDefault="00326863" w:rsidP="006619F9">
      <w:pPr>
        <w:pStyle w:val="ListParagraph"/>
        <w:numPr>
          <w:ilvl w:val="0"/>
          <w:numId w:val="32"/>
        </w:numPr>
        <w:spacing w:before="120" w:after="120" w:line="240" w:lineRule="auto"/>
        <w:contextualSpacing w:val="0"/>
        <w:jc w:val="both"/>
      </w:pPr>
      <w:r>
        <w:t xml:space="preserve">Sincere </w:t>
      </w:r>
      <w:r w:rsidR="004E0E12">
        <w:t xml:space="preserve">gratitude is </w:t>
      </w:r>
      <w:r>
        <w:t xml:space="preserve">passed on to all the </w:t>
      </w:r>
      <w:r w:rsidR="004E0E12">
        <w:t>p</w:t>
      </w:r>
      <w:r>
        <w:t xml:space="preserve">artners and the </w:t>
      </w:r>
      <w:r w:rsidR="001E317A">
        <w:t xml:space="preserve">Secretariat </w:t>
      </w:r>
      <w:r>
        <w:t xml:space="preserve">for </w:t>
      </w:r>
      <w:r w:rsidR="004E0E12">
        <w:t xml:space="preserve">our collective </w:t>
      </w:r>
      <w:r>
        <w:t xml:space="preserve">efforts </w:t>
      </w:r>
      <w:r w:rsidR="004E0E12">
        <w:t>in 2020.</w:t>
      </w:r>
    </w:p>
    <w:tbl>
      <w:tblPr>
        <w:tblStyle w:val="TableGrid"/>
        <w:tblW w:w="0" w:type="auto"/>
        <w:tblLook w:val="04A0" w:firstRow="1" w:lastRow="0" w:firstColumn="1" w:lastColumn="0" w:noHBand="0" w:noVBand="1"/>
      </w:tblPr>
      <w:tblGrid>
        <w:gridCol w:w="822"/>
        <w:gridCol w:w="6315"/>
        <w:gridCol w:w="1879"/>
      </w:tblGrid>
      <w:tr w:rsidR="00106992" w14:paraId="69F2E191" w14:textId="77777777" w:rsidTr="008E4A19">
        <w:trPr>
          <w:trHeight w:val="60"/>
        </w:trPr>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1199B" w14:textId="77777777" w:rsidR="00106992" w:rsidRDefault="00106992" w:rsidP="008E4A19">
            <w:pPr>
              <w:spacing w:before="120" w:after="120"/>
              <w:rPr>
                <w:b/>
                <w:sz w:val="20"/>
                <w:szCs w:val="20"/>
                <w:lang w:val="en-US"/>
              </w:rPr>
            </w:pPr>
          </w:p>
        </w:tc>
        <w:tc>
          <w:tcPr>
            <w:tcW w:w="6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7027DF" w14:textId="77777777" w:rsidR="00106992" w:rsidRDefault="00106992" w:rsidP="008E4A19">
            <w:pPr>
              <w:spacing w:before="120" w:after="120"/>
              <w:rPr>
                <w:b/>
                <w:sz w:val="20"/>
                <w:szCs w:val="20"/>
                <w:lang w:val="en-US"/>
              </w:rPr>
            </w:pPr>
            <w:r>
              <w:rPr>
                <w:b/>
                <w:sz w:val="20"/>
                <w:szCs w:val="20"/>
                <w:lang w:val="en-US"/>
              </w:rPr>
              <w:t>Decision / Action</w:t>
            </w:r>
          </w:p>
        </w:tc>
        <w:tc>
          <w:tcPr>
            <w:tcW w:w="1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B68AAE" w14:textId="77777777" w:rsidR="00106992" w:rsidRDefault="00106992" w:rsidP="008E4A19">
            <w:pPr>
              <w:spacing w:before="120" w:after="120"/>
              <w:rPr>
                <w:b/>
                <w:sz w:val="20"/>
                <w:szCs w:val="20"/>
                <w:lang w:val="en-US"/>
              </w:rPr>
            </w:pPr>
            <w:r>
              <w:rPr>
                <w:b/>
                <w:sz w:val="20"/>
                <w:szCs w:val="20"/>
                <w:lang w:val="en-US"/>
              </w:rPr>
              <w:t>Responsibility</w:t>
            </w:r>
          </w:p>
        </w:tc>
      </w:tr>
      <w:tr w:rsidR="00106992" w14:paraId="53932A68" w14:textId="77777777" w:rsidTr="008E4A19">
        <w:tc>
          <w:tcPr>
            <w:tcW w:w="822" w:type="dxa"/>
            <w:tcBorders>
              <w:top w:val="single" w:sz="4" w:space="0" w:color="auto"/>
              <w:left w:val="single" w:sz="4" w:space="0" w:color="auto"/>
              <w:bottom w:val="single" w:sz="4" w:space="0" w:color="auto"/>
              <w:right w:val="single" w:sz="4" w:space="0" w:color="auto"/>
            </w:tcBorders>
            <w:vAlign w:val="center"/>
            <w:hideMark/>
          </w:tcPr>
          <w:p w14:paraId="25C465E6" w14:textId="77777777" w:rsidR="00106992" w:rsidRDefault="00106992" w:rsidP="008E4A19">
            <w:pPr>
              <w:spacing w:before="120" w:after="120"/>
              <w:rPr>
                <w:sz w:val="20"/>
                <w:szCs w:val="20"/>
                <w:lang w:val="en-US"/>
              </w:rPr>
            </w:pPr>
            <w:r>
              <w:rPr>
                <w:sz w:val="20"/>
                <w:szCs w:val="20"/>
                <w:lang w:val="en-US"/>
              </w:rPr>
              <w:t>1.1</w:t>
            </w:r>
          </w:p>
        </w:tc>
        <w:tc>
          <w:tcPr>
            <w:tcW w:w="6315" w:type="dxa"/>
            <w:tcBorders>
              <w:top w:val="single" w:sz="4" w:space="0" w:color="auto"/>
              <w:left w:val="single" w:sz="4" w:space="0" w:color="auto"/>
              <w:bottom w:val="single" w:sz="4" w:space="0" w:color="auto"/>
              <w:right w:val="single" w:sz="4" w:space="0" w:color="auto"/>
            </w:tcBorders>
            <w:vAlign w:val="center"/>
            <w:hideMark/>
          </w:tcPr>
          <w:p w14:paraId="7A85E372" w14:textId="77777777" w:rsidR="00106992" w:rsidRDefault="00106992" w:rsidP="008E4A19">
            <w:pPr>
              <w:spacing w:before="120" w:after="120"/>
              <w:rPr>
                <w:sz w:val="20"/>
                <w:szCs w:val="20"/>
                <w:lang w:val="en-US"/>
              </w:rPr>
            </w:pPr>
            <w:r>
              <w:rPr>
                <w:sz w:val="20"/>
                <w:szCs w:val="20"/>
                <w:lang w:val="en-US"/>
              </w:rPr>
              <w:t>All constituencies represented on the call and thus quorum achieved.</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D7383C5" w14:textId="77777777" w:rsidR="00106992" w:rsidRDefault="00106992" w:rsidP="008E4A19">
            <w:pPr>
              <w:spacing w:before="120" w:after="120"/>
              <w:rPr>
                <w:sz w:val="20"/>
                <w:szCs w:val="20"/>
                <w:lang w:val="en-US"/>
              </w:rPr>
            </w:pPr>
            <w:r>
              <w:rPr>
                <w:sz w:val="20"/>
                <w:szCs w:val="20"/>
                <w:lang w:val="en-US"/>
              </w:rPr>
              <w:t>n/a</w:t>
            </w:r>
          </w:p>
        </w:tc>
      </w:tr>
      <w:tr w:rsidR="00106992" w14:paraId="38C77BE4" w14:textId="77777777" w:rsidTr="008E4A19">
        <w:tc>
          <w:tcPr>
            <w:tcW w:w="822" w:type="dxa"/>
            <w:tcBorders>
              <w:top w:val="single" w:sz="4" w:space="0" w:color="auto"/>
              <w:left w:val="single" w:sz="4" w:space="0" w:color="auto"/>
              <w:bottom w:val="single" w:sz="4" w:space="0" w:color="auto"/>
              <w:right w:val="single" w:sz="4" w:space="0" w:color="auto"/>
            </w:tcBorders>
            <w:vAlign w:val="center"/>
            <w:hideMark/>
          </w:tcPr>
          <w:p w14:paraId="4FCEABC6" w14:textId="77777777" w:rsidR="00106992" w:rsidRDefault="00106992" w:rsidP="008E4A19">
            <w:pPr>
              <w:spacing w:before="120" w:after="120"/>
              <w:rPr>
                <w:sz w:val="20"/>
                <w:szCs w:val="20"/>
                <w:lang w:val="en-US"/>
              </w:rPr>
            </w:pPr>
            <w:r>
              <w:rPr>
                <w:sz w:val="20"/>
                <w:szCs w:val="20"/>
                <w:lang w:val="en-US"/>
              </w:rPr>
              <w:t>1.2</w:t>
            </w:r>
          </w:p>
        </w:tc>
        <w:tc>
          <w:tcPr>
            <w:tcW w:w="6315" w:type="dxa"/>
            <w:tcBorders>
              <w:top w:val="single" w:sz="4" w:space="0" w:color="auto"/>
              <w:left w:val="single" w:sz="4" w:space="0" w:color="auto"/>
              <w:bottom w:val="single" w:sz="4" w:space="0" w:color="auto"/>
              <w:right w:val="single" w:sz="4" w:space="0" w:color="auto"/>
            </w:tcBorders>
            <w:vAlign w:val="center"/>
            <w:hideMark/>
          </w:tcPr>
          <w:p w14:paraId="46A0BC85" w14:textId="77777777" w:rsidR="00106992" w:rsidRDefault="00106992" w:rsidP="008E4A19">
            <w:pPr>
              <w:spacing w:before="120" w:after="120"/>
              <w:rPr>
                <w:sz w:val="20"/>
                <w:szCs w:val="20"/>
                <w:lang w:val="en-US"/>
              </w:rPr>
            </w:pPr>
            <w:r>
              <w:rPr>
                <w:sz w:val="20"/>
                <w:szCs w:val="20"/>
                <w:lang w:val="en-US"/>
              </w:rPr>
              <w:t xml:space="preserve">EC </w:t>
            </w:r>
            <w:proofErr w:type="spellStart"/>
            <w:r>
              <w:rPr>
                <w:sz w:val="20"/>
                <w:szCs w:val="20"/>
                <w:lang w:val="en-US"/>
              </w:rPr>
              <w:t>NfR</w:t>
            </w:r>
            <w:proofErr w:type="spellEnd"/>
            <w:r>
              <w:rPr>
                <w:sz w:val="20"/>
                <w:szCs w:val="20"/>
                <w:lang w:val="en-US"/>
              </w:rPr>
              <w:t xml:space="preserve"> and monitoring of actions document adopted, as related to 10 June 2020 meeting.</w:t>
            </w:r>
          </w:p>
        </w:tc>
        <w:tc>
          <w:tcPr>
            <w:tcW w:w="1879" w:type="dxa"/>
            <w:tcBorders>
              <w:top w:val="single" w:sz="4" w:space="0" w:color="auto"/>
              <w:left w:val="single" w:sz="4" w:space="0" w:color="auto"/>
              <w:bottom w:val="single" w:sz="4" w:space="0" w:color="auto"/>
              <w:right w:val="single" w:sz="4" w:space="0" w:color="auto"/>
            </w:tcBorders>
            <w:vAlign w:val="center"/>
            <w:hideMark/>
          </w:tcPr>
          <w:p w14:paraId="1F6D223F" w14:textId="77777777" w:rsidR="00106992" w:rsidRDefault="00106992" w:rsidP="008E4A19">
            <w:pPr>
              <w:spacing w:before="120" w:after="120"/>
              <w:rPr>
                <w:sz w:val="20"/>
                <w:szCs w:val="20"/>
                <w:lang w:val="en-US"/>
              </w:rPr>
            </w:pPr>
            <w:r>
              <w:rPr>
                <w:sz w:val="20"/>
                <w:szCs w:val="20"/>
                <w:lang w:val="en-US"/>
              </w:rPr>
              <w:t>n/a</w:t>
            </w:r>
          </w:p>
        </w:tc>
      </w:tr>
    </w:tbl>
    <w:p w14:paraId="1763CC42" w14:textId="02252800" w:rsidR="00F6498A" w:rsidRDefault="00F6498A">
      <w:pPr>
        <w:rPr>
          <w:b/>
          <w:color w:val="7030A0"/>
          <w:lang w:val="en-US"/>
        </w:rPr>
      </w:pPr>
    </w:p>
    <w:p w14:paraId="0AD9D048" w14:textId="350B8E6D" w:rsidR="00BD3DAA" w:rsidRDefault="00A46369" w:rsidP="00BD3DAA">
      <w:pPr>
        <w:pStyle w:val="ListParagraph"/>
        <w:numPr>
          <w:ilvl w:val="0"/>
          <w:numId w:val="26"/>
        </w:numPr>
        <w:spacing w:before="360" w:after="360" w:line="240" w:lineRule="auto"/>
        <w:jc w:val="both"/>
        <w:rPr>
          <w:b/>
          <w:color w:val="7030A0"/>
          <w:lang w:val="en-US"/>
        </w:rPr>
      </w:pPr>
      <w:r w:rsidRPr="00A46369">
        <w:rPr>
          <w:b/>
          <w:color w:val="7030A0"/>
          <w:lang w:val="en-US"/>
        </w:rPr>
        <w:t>Governance Reform, Partner Engagement and Digital Action Plan</w:t>
      </w:r>
      <w:r w:rsidR="00BD3DAA">
        <w:rPr>
          <w:b/>
          <w:color w:val="7030A0"/>
          <w:lang w:val="en-US"/>
        </w:rPr>
        <w:t xml:space="preserve">       </w:t>
      </w:r>
    </w:p>
    <w:p w14:paraId="61180577" w14:textId="77777777" w:rsidR="00BD3DAA" w:rsidRDefault="00BD3DAA" w:rsidP="00BD3DAA">
      <w:pPr>
        <w:jc w:val="both"/>
        <w:rPr>
          <w:b/>
          <w:u w:val="single"/>
        </w:rPr>
      </w:pPr>
      <w:bookmarkStart w:id="1" w:name="_Hlk20899529"/>
      <w:r>
        <w:rPr>
          <w:b/>
          <w:u w:val="single"/>
        </w:rPr>
        <w:t>Presentation / Speakers</w:t>
      </w:r>
    </w:p>
    <w:bookmarkEnd w:id="1"/>
    <w:p w14:paraId="15C62AA6" w14:textId="03225D9F" w:rsidR="00A46369" w:rsidRDefault="00A46369" w:rsidP="00A46369">
      <w:pPr>
        <w:spacing w:before="120" w:after="120"/>
        <w:jc w:val="both"/>
        <w:rPr>
          <w:rFonts w:cstheme="minorHAnsi"/>
          <w:bCs/>
        </w:rPr>
      </w:pPr>
      <w:r>
        <w:rPr>
          <w:rFonts w:cstheme="minorHAnsi"/>
          <w:bCs/>
        </w:rPr>
        <w:t xml:space="preserve">Flavia Bustreo, Chair of the PMNCH Governance &amp; Nominations Committee (GNC), </w:t>
      </w:r>
      <w:r w:rsidR="00C13743">
        <w:rPr>
          <w:rFonts w:cstheme="minorHAnsi"/>
          <w:bCs/>
        </w:rPr>
        <w:t xml:space="preserve">together with Dorothy Shaw, vice-Chair of the GNC, </w:t>
      </w:r>
      <w:r>
        <w:rPr>
          <w:rFonts w:cstheme="minorHAnsi"/>
          <w:bCs/>
        </w:rPr>
        <w:t xml:space="preserve">introduced the work </w:t>
      </w:r>
      <w:r w:rsidR="00D923BB">
        <w:rPr>
          <w:rFonts w:cstheme="minorHAnsi"/>
          <w:bCs/>
        </w:rPr>
        <w:t>on h</w:t>
      </w:r>
      <w:r w:rsidR="00D923BB" w:rsidRPr="00D923BB">
        <w:rPr>
          <w:rFonts w:cstheme="minorHAnsi"/>
          <w:bCs/>
        </w:rPr>
        <w:t>arnessing the power of partnership in a digital era</w:t>
      </w:r>
      <w:r w:rsidR="00C13743">
        <w:rPr>
          <w:rFonts w:cstheme="minorHAnsi"/>
          <w:bCs/>
        </w:rPr>
        <w:t xml:space="preserve"> a</w:t>
      </w:r>
      <w:r w:rsidR="00C95394">
        <w:rPr>
          <w:rFonts w:cstheme="minorHAnsi"/>
          <w:bCs/>
        </w:rPr>
        <w:t>nd present</w:t>
      </w:r>
      <w:r w:rsidR="00C13743">
        <w:rPr>
          <w:rFonts w:cstheme="minorHAnsi"/>
          <w:bCs/>
        </w:rPr>
        <w:t>ed</w:t>
      </w:r>
      <w:r w:rsidR="00C95394">
        <w:rPr>
          <w:rFonts w:cstheme="minorHAnsi"/>
          <w:bCs/>
        </w:rPr>
        <w:t xml:space="preserve"> the </w:t>
      </w:r>
      <w:r w:rsidR="0039609D">
        <w:rPr>
          <w:rFonts w:cstheme="minorHAnsi"/>
          <w:bCs/>
        </w:rPr>
        <w:t xml:space="preserve">paper that has been shared with the Executive Committee. </w:t>
      </w:r>
    </w:p>
    <w:p w14:paraId="35AAC4FD" w14:textId="77777777" w:rsidR="00BD3DAA" w:rsidRDefault="00BD3DAA" w:rsidP="00BD3DAA">
      <w:pPr>
        <w:rPr>
          <w:b/>
          <w:u w:val="single"/>
        </w:rPr>
      </w:pPr>
      <w:r>
        <w:rPr>
          <w:b/>
          <w:u w:val="single"/>
        </w:rPr>
        <w:t>Discussion</w:t>
      </w:r>
    </w:p>
    <w:p w14:paraId="42BFF60C" w14:textId="77777777" w:rsidR="00262379" w:rsidRDefault="00CE1C83" w:rsidP="00CE1C83">
      <w:pPr>
        <w:pStyle w:val="ListParagraph"/>
        <w:numPr>
          <w:ilvl w:val="0"/>
          <w:numId w:val="32"/>
        </w:numPr>
        <w:spacing w:before="120" w:after="120" w:line="240" w:lineRule="auto"/>
        <w:contextualSpacing w:val="0"/>
        <w:jc w:val="both"/>
        <w:rPr>
          <w:bCs/>
          <w:color w:val="000000" w:themeColor="text1"/>
          <w:lang w:val="en-US"/>
        </w:rPr>
      </w:pPr>
      <w:r w:rsidRPr="00CE1C83">
        <w:t>Extensive</w:t>
      </w:r>
      <w:r>
        <w:rPr>
          <w:bCs/>
          <w:color w:val="000000" w:themeColor="text1"/>
          <w:lang w:val="en-US"/>
        </w:rPr>
        <w:t xml:space="preserve"> work </w:t>
      </w:r>
      <w:r w:rsidR="00262379">
        <w:rPr>
          <w:bCs/>
          <w:color w:val="000000" w:themeColor="text1"/>
          <w:lang w:val="en-US"/>
        </w:rPr>
        <w:t xml:space="preserve">underpinning the </w:t>
      </w:r>
      <w:r>
        <w:rPr>
          <w:bCs/>
          <w:color w:val="000000" w:themeColor="text1"/>
          <w:lang w:val="en-US"/>
        </w:rPr>
        <w:t>Harnessing the Power of Partnership in a Digital Era paper was described</w:t>
      </w:r>
      <w:r w:rsidR="00262379">
        <w:rPr>
          <w:bCs/>
          <w:color w:val="000000" w:themeColor="text1"/>
          <w:lang w:val="en-US"/>
        </w:rPr>
        <w:t xml:space="preserve">, </w:t>
      </w:r>
      <w:r>
        <w:rPr>
          <w:bCs/>
          <w:color w:val="000000" w:themeColor="text1"/>
          <w:lang w:val="en-US"/>
        </w:rPr>
        <w:t xml:space="preserve">and the paper itself </w:t>
      </w:r>
      <w:r w:rsidR="00262379">
        <w:rPr>
          <w:bCs/>
          <w:color w:val="000000" w:themeColor="text1"/>
          <w:lang w:val="en-US"/>
        </w:rPr>
        <w:t xml:space="preserve">was </w:t>
      </w:r>
      <w:r w:rsidRPr="00262379">
        <w:rPr>
          <w:bCs/>
          <w:lang w:val="en-US"/>
        </w:rPr>
        <w:t>presented</w:t>
      </w:r>
      <w:r>
        <w:rPr>
          <w:bCs/>
          <w:color w:val="000000" w:themeColor="text1"/>
          <w:lang w:val="en-US"/>
        </w:rPr>
        <w:t xml:space="preserve">. </w:t>
      </w:r>
    </w:p>
    <w:p w14:paraId="4F34ED91" w14:textId="40F6A5BE" w:rsidR="00CE1C83" w:rsidRDefault="00262379" w:rsidP="00CE1C83">
      <w:pPr>
        <w:pStyle w:val="ListParagraph"/>
        <w:numPr>
          <w:ilvl w:val="0"/>
          <w:numId w:val="32"/>
        </w:numPr>
        <w:spacing w:before="120" w:after="120" w:line="240" w:lineRule="auto"/>
        <w:contextualSpacing w:val="0"/>
        <w:jc w:val="both"/>
        <w:rPr>
          <w:bCs/>
          <w:color w:val="000000" w:themeColor="text1"/>
          <w:lang w:val="en-US"/>
        </w:rPr>
      </w:pPr>
      <w:r>
        <w:rPr>
          <w:bCs/>
          <w:color w:val="000000" w:themeColor="text1"/>
          <w:lang w:val="en-US"/>
        </w:rPr>
        <w:t xml:space="preserve">The main </w:t>
      </w:r>
      <w:r w:rsidR="0004349A">
        <w:rPr>
          <w:bCs/>
          <w:color w:val="000000" w:themeColor="text1"/>
          <w:lang w:val="en-US"/>
        </w:rPr>
        <w:t>recommendations from the paper, in part responding to the findings from the PMNCH’s external evaluation, included:</w:t>
      </w:r>
    </w:p>
    <w:p w14:paraId="2F5A90B0" w14:textId="1922BFC2" w:rsidR="00CE1C83" w:rsidRPr="0004349A" w:rsidRDefault="00CE1C83" w:rsidP="009F5266">
      <w:pPr>
        <w:pStyle w:val="ListParagraph"/>
        <w:numPr>
          <w:ilvl w:val="1"/>
          <w:numId w:val="32"/>
        </w:numPr>
        <w:spacing w:before="120" w:after="120" w:line="240" w:lineRule="auto"/>
        <w:contextualSpacing w:val="0"/>
        <w:jc w:val="both"/>
        <w:rPr>
          <w:bCs/>
          <w:color w:val="000000" w:themeColor="text1"/>
          <w:lang w:val="en-US"/>
        </w:rPr>
      </w:pPr>
      <w:r w:rsidRPr="0004349A">
        <w:rPr>
          <w:bCs/>
          <w:color w:val="000000" w:themeColor="text1"/>
          <w:lang w:val="en-US"/>
        </w:rPr>
        <w:t>PMNCH Board will be more streamlined</w:t>
      </w:r>
      <w:r w:rsidR="0004349A" w:rsidRPr="0004349A">
        <w:rPr>
          <w:bCs/>
          <w:color w:val="000000" w:themeColor="text1"/>
          <w:lang w:val="en-US"/>
        </w:rPr>
        <w:t xml:space="preserve"> </w:t>
      </w:r>
      <w:r w:rsidR="009F419D">
        <w:rPr>
          <w:bCs/>
          <w:color w:val="000000" w:themeColor="text1"/>
          <w:lang w:val="en-US"/>
        </w:rPr>
        <w:t xml:space="preserve">(reduced in size and without Alternates) </w:t>
      </w:r>
      <w:r w:rsidR="0004349A" w:rsidRPr="0004349A">
        <w:rPr>
          <w:bCs/>
          <w:color w:val="000000" w:themeColor="text1"/>
          <w:lang w:val="en-US"/>
        </w:rPr>
        <w:t xml:space="preserve">and its </w:t>
      </w:r>
      <w:r w:rsidR="0004349A">
        <w:rPr>
          <w:bCs/>
          <w:color w:val="000000" w:themeColor="text1"/>
          <w:lang w:val="en-US"/>
        </w:rPr>
        <w:t>m</w:t>
      </w:r>
      <w:r w:rsidRPr="0004349A">
        <w:rPr>
          <w:bCs/>
          <w:color w:val="000000" w:themeColor="text1"/>
          <w:lang w:val="en-US"/>
        </w:rPr>
        <w:t>ain function</w:t>
      </w:r>
      <w:r w:rsidR="0004349A">
        <w:rPr>
          <w:bCs/>
          <w:color w:val="000000" w:themeColor="text1"/>
          <w:lang w:val="en-US"/>
        </w:rPr>
        <w:t>s</w:t>
      </w:r>
      <w:r w:rsidRPr="0004349A">
        <w:rPr>
          <w:bCs/>
          <w:color w:val="000000" w:themeColor="text1"/>
          <w:lang w:val="en-US"/>
        </w:rPr>
        <w:t xml:space="preserve"> will be to act as </w:t>
      </w:r>
      <w:r w:rsidR="009F419D">
        <w:rPr>
          <w:bCs/>
          <w:color w:val="000000" w:themeColor="text1"/>
          <w:lang w:val="en-US"/>
        </w:rPr>
        <w:t xml:space="preserve">a group of </w:t>
      </w:r>
      <w:r w:rsidRPr="0004349A">
        <w:rPr>
          <w:bCs/>
          <w:color w:val="000000" w:themeColor="text1"/>
          <w:lang w:val="en-US"/>
        </w:rPr>
        <w:t>high-level champions.</w:t>
      </w:r>
    </w:p>
    <w:p w14:paraId="41B67238" w14:textId="09985DFD" w:rsidR="00CE1C83" w:rsidRDefault="009F419D" w:rsidP="0004349A">
      <w:pPr>
        <w:pStyle w:val="ListParagraph"/>
        <w:numPr>
          <w:ilvl w:val="1"/>
          <w:numId w:val="32"/>
        </w:numPr>
        <w:spacing w:before="120" w:after="120" w:line="240" w:lineRule="auto"/>
        <w:contextualSpacing w:val="0"/>
        <w:jc w:val="both"/>
        <w:rPr>
          <w:bCs/>
          <w:color w:val="000000" w:themeColor="text1"/>
          <w:lang w:val="en-US"/>
        </w:rPr>
      </w:pPr>
      <w:r>
        <w:rPr>
          <w:bCs/>
          <w:color w:val="000000" w:themeColor="text1"/>
          <w:lang w:val="en-US"/>
        </w:rPr>
        <w:t xml:space="preserve">Executive Committee will </w:t>
      </w:r>
      <w:r w:rsidR="00CE1C83">
        <w:rPr>
          <w:bCs/>
          <w:color w:val="000000" w:themeColor="text1"/>
          <w:lang w:val="en-US"/>
        </w:rPr>
        <w:t xml:space="preserve">manage operations and oversee the </w:t>
      </w:r>
      <w:r>
        <w:rPr>
          <w:bCs/>
          <w:color w:val="000000" w:themeColor="text1"/>
          <w:lang w:val="en-US"/>
        </w:rPr>
        <w:t xml:space="preserve">other </w:t>
      </w:r>
      <w:r w:rsidR="00CE1C83">
        <w:rPr>
          <w:bCs/>
          <w:color w:val="000000" w:themeColor="text1"/>
          <w:lang w:val="en-US"/>
        </w:rPr>
        <w:t>standing committees.</w:t>
      </w:r>
    </w:p>
    <w:p w14:paraId="0F48B200" w14:textId="5E5EC419" w:rsidR="00CE1C83" w:rsidRDefault="009F419D" w:rsidP="0004349A">
      <w:pPr>
        <w:pStyle w:val="ListParagraph"/>
        <w:numPr>
          <w:ilvl w:val="1"/>
          <w:numId w:val="32"/>
        </w:numPr>
        <w:spacing w:before="120" w:after="120" w:line="240" w:lineRule="auto"/>
        <w:contextualSpacing w:val="0"/>
        <w:jc w:val="both"/>
        <w:rPr>
          <w:bCs/>
          <w:color w:val="000000" w:themeColor="text1"/>
          <w:lang w:val="en-US"/>
        </w:rPr>
      </w:pPr>
      <w:r>
        <w:rPr>
          <w:bCs/>
          <w:color w:val="000000" w:themeColor="text1"/>
          <w:lang w:val="en-US"/>
        </w:rPr>
        <w:t xml:space="preserve">Strategy Committee will merge with the Advocacy Working Group to form a new </w:t>
      </w:r>
      <w:r w:rsidR="00CE1C83">
        <w:rPr>
          <w:bCs/>
          <w:color w:val="000000" w:themeColor="text1"/>
          <w:lang w:val="en-US"/>
        </w:rPr>
        <w:t>Strategic Advocacy Committee</w:t>
      </w:r>
      <w:r>
        <w:rPr>
          <w:bCs/>
          <w:color w:val="000000" w:themeColor="text1"/>
          <w:lang w:val="en-US"/>
        </w:rPr>
        <w:t xml:space="preserve">, which will </w:t>
      </w:r>
      <w:r w:rsidR="00CB370D">
        <w:rPr>
          <w:bCs/>
          <w:color w:val="000000" w:themeColor="text1"/>
          <w:lang w:val="en-US"/>
        </w:rPr>
        <w:t xml:space="preserve">draw on support from the </w:t>
      </w:r>
      <w:r w:rsidR="00CE1C83">
        <w:rPr>
          <w:bCs/>
          <w:color w:val="000000" w:themeColor="text1"/>
          <w:lang w:val="en-US"/>
        </w:rPr>
        <w:t>Knowledge and Evidence Working Group and the Accountability Working Group.</w:t>
      </w:r>
    </w:p>
    <w:p w14:paraId="72E173CD" w14:textId="694358CC" w:rsidR="00CE1C83" w:rsidRDefault="00CB370D" w:rsidP="0004349A">
      <w:pPr>
        <w:pStyle w:val="ListParagraph"/>
        <w:numPr>
          <w:ilvl w:val="1"/>
          <w:numId w:val="32"/>
        </w:numPr>
        <w:spacing w:before="120" w:after="120" w:line="240" w:lineRule="auto"/>
        <w:contextualSpacing w:val="0"/>
        <w:jc w:val="both"/>
        <w:rPr>
          <w:bCs/>
          <w:color w:val="000000" w:themeColor="text1"/>
          <w:lang w:val="en-US"/>
        </w:rPr>
      </w:pPr>
      <w:r>
        <w:rPr>
          <w:bCs/>
          <w:color w:val="000000" w:themeColor="text1"/>
          <w:lang w:val="en-US"/>
        </w:rPr>
        <w:lastRenderedPageBreak/>
        <w:t xml:space="preserve">No </w:t>
      </w:r>
      <w:r w:rsidR="00CE1C83">
        <w:rPr>
          <w:bCs/>
          <w:color w:val="000000" w:themeColor="text1"/>
          <w:lang w:val="en-US"/>
        </w:rPr>
        <w:t>change to the constituency structure</w:t>
      </w:r>
      <w:r>
        <w:rPr>
          <w:bCs/>
          <w:color w:val="000000" w:themeColor="text1"/>
          <w:lang w:val="en-US"/>
        </w:rPr>
        <w:t xml:space="preserve"> is proposed</w:t>
      </w:r>
      <w:r w:rsidR="00CE1C83">
        <w:rPr>
          <w:bCs/>
          <w:color w:val="000000" w:themeColor="text1"/>
          <w:lang w:val="en-US"/>
        </w:rPr>
        <w:t>.</w:t>
      </w:r>
    </w:p>
    <w:p w14:paraId="146E43EC" w14:textId="77777777" w:rsidR="000014D8" w:rsidRDefault="00CE1C83" w:rsidP="0004349A">
      <w:pPr>
        <w:pStyle w:val="ListParagraph"/>
        <w:numPr>
          <w:ilvl w:val="1"/>
          <w:numId w:val="32"/>
        </w:numPr>
        <w:spacing w:before="120" w:after="120" w:line="240" w:lineRule="auto"/>
        <w:contextualSpacing w:val="0"/>
        <w:jc w:val="both"/>
        <w:rPr>
          <w:bCs/>
          <w:color w:val="000000" w:themeColor="text1"/>
          <w:lang w:val="en-US"/>
        </w:rPr>
      </w:pPr>
      <w:r>
        <w:rPr>
          <w:bCs/>
          <w:color w:val="000000" w:themeColor="text1"/>
          <w:lang w:val="en-US"/>
        </w:rPr>
        <w:t xml:space="preserve">Engagement and outreach will </w:t>
      </w:r>
      <w:r w:rsidR="00CB370D">
        <w:rPr>
          <w:bCs/>
          <w:color w:val="000000" w:themeColor="text1"/>
          <w:lang w:val="en-US"/>
        </w:rPr>
        <w:t xml:space="preserve">happen through PMNCH’s </w:t>
      </w:r>
      <w:r>
        <w:rPr>
          <w:bCs/>
          <w:color w:val="000000" w:themeColor="text1"/>
          <w:lang w:val="en-US"/>
        </w:rPr>
        <w:t xml:space="preserve">committees and through virtual </w:t>
      </w:r>
      <w:r w:rsidR="00CB370D">
        <w:rPr>
          <w:bCs/>
          <w:color w:val="000000" w:themeColor="text1"/>
          <w:lang w:val="en-US"/>
        </w:rPr>
        <w:t>fora, with the emerging d</w:t>
      </w:r>
      <w:r>
        <w:rPr>
          <w:bCs/>
          <w:color w:val="000000" w:themeColor="text1"/>
          <w:lang w:val="en-US"/>
        </w:rPr>
        <w:t>igital platform</w:t>
      </w:r>
      <w:r w:rsidR="00CB370D">
        <w:rPr>
          <w:bCs/>
          <w:color w:val="000000" w:themeColor="text1"/>
          <w:lang w:val="en-US"/>
        </w:rPr>
        <w:t xml:space="preserve"> playing an important role.</w:t>
      </w:r>
      <w:r>
        <w:rPr>
          <w:bCs/>
          <w:color w:val="000000" w:themeColor="text1"/>
          <w:lang w:val="en-US"/>
        </w:rPr>
        <w:t xml:space="preserve"> </w:t>
      </w:r>
    </w:p>
    <w:p w14:paraId="4E247C74" w14:textId="4A3F2930" w:rsidR="00CE1C83" w:rsidRDefault="000014D8" w:rsidP="0004349A">
      <w:pPr>
        <w:pStyle w:val="ListParagraph"/>
        <w:numPr>
          <w:ilvl w:val="1"/>
          <w:numId w:val="32"/>
        </w:numPr>
        <w:spacing w:before="120" w:after="120" w:line="240" w:lineRule="auto"/>
        <w:contextualSpacing w:val="0"/>
        <w:jc w:val="both"/>
        <w:rPr>
          <w:bCs/>
          <w:color w:val="000000" w:themeColor="text1"/>
          <w:lang w:val="en-US"/>
        </w:rPr>
      </w:pPr>
      <w:r>
        <w:rPr>
          <w:bCs/>
          <w:color w:val="000000" w:themeColor="text1"/>
          <w:lang w:val="en-US"/>
        </w:rPr>
        <w:t xml:space="preserve">The proposed governance restructuring is aimed at also ensuring that the </w:t>
      </w:r>
      <w:r w:rsidR="00CE1C83">
        <w:rPr>
          <w:bCs/>
          <w:color w:val="000000" w:themeColor="text1"/>
          <w:lang w:val="en-US"/>
        </w:rPr>
        <w:t xml:space="preserve">PMNCH </w:t>
      </w:r>
      <w:r>
        <w:rPr>
          <w:bCs/>
          <w:color w:val="000000" w:themeColor="text1"/>
          <w:lang w:val="en-US"/>
        </w:rPr>
        <w:t xml:space="preserve">institutional </w:t>
      </w:r>
      <w:r w:rsidR="00CE1C83">
        <w:rPr>
          <w:bCs/>
          <w:color w:val="000000" w:themeColor="text1"/>
          <w:lang w:val="en-US"/>
        </w:rPr>
        <w:t xml:space="preserve">architecture </w:t>
      </w:r>
      <w:r>
        <w:rPr>
          <w:bCs/>
          <w:color w:val="000000" w:themeColor="text1"/>
          <w:lang w:val="en-US"/>
        </w:rPr>
        <w:t xml:space="preserve">is supportive of our collective ambition for the work to be </w:t>
      </w:r>
      <w:r w:rsidR="005D57F3">
        <w:rPr>
          <w:bCs/>
          <w:color w:val="000000" w:themeColor="text1"/>
          <w:lang w:val="en-US"/>
        </w:rPr>
        <w:t>partnership</w:t>
      </w:r>
      <w:r>
        <w:rPr>
          <w:bCs/>
          <w:color w:val="000000" w:themeColor="text1"/>
          <w:lang w:val="en-US"/>
        </w:rPr>
        <w:t>-</w:t>
      </w:r>
      <w:r w:rsidR="00CE1C83">
        <w:rPr>
          <w:bCs/>
          <w:color w:val="000000" w:themeColor="text1"/>
          <w:lang w:val="en-US"/>
        </w:rPr>
        <w:t>led.</w:t>
      </w:r>
    </w:p>
    <w:p w14:paraId="39680394" w14:textId="77777777" w:rsidR="005D57F3" w:rsidRDefault="00CE1C83" w:rsidP="005D57F3">
      <w:pPr>
        <w:pStyle w:val="ListParagraph"/>
        <w:numPr>
          <w:ilvl w:val="0"/>
          <w:numId w:val="32"/>
        </w:numPr>
        <w:spacing w:before="120" w:after="120" w:line="240" w:lineRule="auto"/>
        <w:contextualSpacing w:val="0"/>
        <w:jc w:val="both"/>
        <w:rPr>
          <w:bCs/>
          <w:color w:val="000000" w:themeColor="text1"/>
          <w:lang w:val="en-US"/>
        </w:rPr>
      </w:pPr>
      <w:r>
        <w:rPr>
          <w:bCs/>
          <w:color w:val="000000" w:themeColor="text1"/>
          <w:lang w:val="en-US"/>
        </w:rPr>
        <w:t>Reflecting on the information presented, the EC congratulated the GNC on the work undertaken</w:t>
      </w:r>
      <w:r w:rsidR="005D57F3">
        <w:rPr>
          <w:bCs/>
          <w:color w:val="000000" w:themeColor="text1"/>
          <w:lang w:val="en-US"/>
        </w:rPr>
        <w:t>.</w:t>
      </w:r>
    </w:p>
    <w:p w14:paraId="05F73EDC" w14:textId="77777777" w:rsidR="005A74B3" w:rsidRDefault="005D57F3" w:rsidP="005A74B3">
      <w:pPr>
        <w:pStyle w:val="ListParagraph"/>
        <w:numPr>
          <w:ilvl w:val="0"/>
          <w:numId w:val="38"/>
        </w:numPr>
        <w:spacing w:before="120" w:after="120" w:line="240" w:lineRule="auto"/>
        <w:contextualSpacing w:val="0"/>
        <w:jc w:val="both"/>
        <w:rPr>
          <w:bCs/>
          <w:color w:val="000000" w:themeColor="text1"/>
          <w:lang w:val="en-US"/>
        </w:rPr>
      </w:pPr>
      <w:r w:rsidRPr="005D57F3">
        <w:rPr>
          <w:bCs/>
          <w:color w:val="000000" w:themeColor="text1"/>
          <w:lang w:val="en-US"/>
        </w:rPr>
        <w:t xml:space="preserve">The EC welcomed </w:t>
      </w:r>
      <w:r>
        <w:rPr>
          <w:bCs/>
          <w:color w:val="000000" w:themeColor="text1"/>
          <w:lang w:val="en-US"/>
        </w:rPr>
        <w:t>m</w:t>
      </w:r>
      <w:r w:rsidR="00CE1C83" w:rsidRPr="005D57F3">
        <w:rPr>
          <w:bCs/>
          <w:color w:val="000000" w:themeColor="text1"/>
          <w:lang w:val="en-US"/>
        </w:rPr>
        <w:t>aking the Board leaner and more streamlined</w:t>
      </w:r>
      <w:r w:rsidR="005A74B3">
        <w:rPr>
          <w:bCs/>
          <w:color w:val="000000" w:themeColor="text1"/>
          <w:lang w:val="en-US"/>
        </w:rPr>
        <w:t xml:space="preserve">, and it also noted that the proposed </w:t>
      </w:r>
      <w:r w:rsidR="00CE1C83" w:rsidRPr="005A74B3">
        <w:rPr>
          <w:bCs/>
          <w:color w:val="000000" w:themeColor="text1"/>
          <w:lang w:val="en-US"/>
        </w:rPr>
        <w:t xml:space="preserve">Communities of Practice </w:t>
      </w:r>
      <w:r w:rsidR="005A74B3">
        <w:rPr>
          <w:bCs/>
          <w:color w:val="000000" w:themeColor="text1"/>
          <w:lang w:val="en-US"/>
        </w:rPr>
        <w:t xml:space="preserve">present </w:t>
      </w:r>
      <w:r w:rsidR="00CE1C83" w:rsidRPr="005A74B3">
        <w:rPr>
          <w:bCs/>
          <w:color w:val="000000" w:themeColor="text1"/>
          <w:lang w:val="en-US"/>
        </w:rPr>
        <w:t>an excellent way of building coalitions and partnerships</w:t>
      </w:r>
      <w:r w:rsidR="005A74B3">
        <w:rPr>
          <w:bCs/>
          <w:color w:val="000000" w:themeColor="text1"/>
          <w:lang w:val="en-US"/>
        </w:rPr>
        <w:t>, and engaging partners more generally</w:t>
      </w:r>
      <w:r w:rsidR="00CE1C83" w:rsidRPr="005A74B3">
        <w:rPr>
          <w:bCs/>
          <w:color w:val="000000" w:themeColor="text1"/>
          <w:lang w:val="en-US"/>
        </w:rPr>
        <w:t>.</w:t>
      </w:r>
    </w:p>
    <w:p w14:paraId="2E1DB0FB" w14:textId="77777777" w:rsidR="00635CCA" w:rsidRDefault="002F0305" w:rsidP="00635CCA">
      <w:pPr>
        <w:pStyle w:val="ListParagraph"/>
        <w:numPr>
          <w:ilvl w:val="0"/>
          <w:numId w:val="38"/>
        </w:numPr>
        <w:spacing w:before="120" w:after="120" w:line="240" w:lineRule="auto"/>
        <w:contextualSpacing w:val="0"/>
        <w:jc w:val="both"/>
        <w:rPr>
          <w:bCs/>
          <w:color w:val="000000" w:themeColor="text1"/>
          <w:lang w:val="en-US"/>
        </w:rPr>
      </w:pPr>
      <w:r>
        <w:rPr>
          <w:bCs/>
          <w:color w:val="000000" w:themeColor="text1"/>
          <w:lang w:val="en-US"/>
        </w:rPr>
        <w:t xml:space="preserve">Given the shift towards a virtual way of working, </w:t>
      </w:r>
      <w:r w:rsidR="00B57AE8">
        <w:rPr>
          <w:bCs/>
          <w:color w:val="000000" w:themeColor="text1"/>
          <w:lang w:val="en-US"/>
        </w:rPr>
        <w:t xml:space="preserve">this is an opportunity for the </w:t>
      </w:r>
      <w:r>
        <w:rPr>
          <w:bCs/>
          <w:color w:val="000000" w:themeColor="text1"/>
          <w:lang w:val="en-US"/>
        </w:rPr>
        <w:t xml:space="preserve">Board meetings </w:t>
      </w:r>
      <w:r w:rsidR="00454749">
        <w:rPr>
          <w:bCs/>
          <w:color w:val="000000" w:themeColor="text1"/>
          <w:lang w:val="en-US"/>
        </w:rPr>
        <w:t xml:space="preserve">to be </w:t>
      </w:r>
      <w:r>
        <w:rPr>
          <w:bCs/>
          <w:color w:val="000000" w:themeColor="text1"/>
          <w:lang w:val="en-US"/>
        </w:rPr>
        <w:t xml:space="preserve">shorter and </w:t>
      </w:r>
      <w:r w:rsidR="00454749">
        <w:rPr>
          <w:bCs/>
          <w:color w:val="000000" w:themeColor="text1"/>
          <w:lang w:val="en-US"/>
        </w:rPr>
        <w:t xml:space="preserve">decision </w:t>
      </w:r>
      <w:r>
        <w:rPr>
          <w:bCs/>
          <w:color w:val="000000" w:themeColor="text1"/>
          <w:lang w:val="en-US"/>
        </w:rPr>
        <w:t xml:space="preserve">focused. </w:t>
      </w:r>
    </w:p>
    <w:p w14:paraId="674CFDF4" w14:textId="77777777" w:rsidR="007366DC" w:rsidRPr="007366DC" w:rsidRDefault="00635CCA" w:rsidP="007366DC">
      <w:pPr>
        <w:pStyle w:val="ListParagraph"/>
        <w:numPr>
          <w:ilvl w:val="0"/>
          <w:numId w:val="38"/>
        </w:numPr>
        <w:spacing w:before="120" w:after="120" w:line="240" w:lineRule="auto"/>
        <w:contextualSpacing w:val="0"/>
        <w:jc w:val="both"/>
        <w:rPr>
          <w:bCs/>
          <w:color w:val="000000" w:themeColor="text1"/>
          <w:lang w:val="en-US"/>
        </w:rPr>
      </w:pPr>
      <w:r>
        <w:rPr>
          <w:bCs/>
          <w:color w:val="000000" w:themeColor="text1"/>
          <w:lang w:val="en-US"/>
        </w:rPr>
        <w:t>In implementing the governance reform</w:t>
      </w:r>
      <w:r w:rsidR="007366DC">
        <w:rPr>
          <w:bCs/>
          <w:color w:val="000000" w:themeColor="text1"/>
          <w:lang w:val="en-US"/>
        </w:rPr>
        <w:t xml:space="preserve">, </w:t>
      </w:r>
      <w:proofErr w:type="spellStart"/>
      <w:r w:rsidR="007366DC">
        <w:rPr>
          <w:bCs/>
          <w:color w:val="000000" w:themeColor="text1"/>
          <w:lang w:val="en-US"/>
        </w:rPr>
        <w:t>i</w:t>
      </w:r>
      <w:proofErr w:type="spellEnd"/>
      <w:r w:rsidR="00CE1C83" w:rsidRPr="00635CCA">
        <w:rPr>
          <w:rFonts w:ascii="Calibri" w:hAnsi="Calibri" w:cs="Calibri"/>
          <w:color w:val="000000"/>
        </w:rPr>
        <w:t>t will be important to find a balance between enhancing diversity and streamlining the structures.</w:t>
      </w:r>
    </w:p>
    <w:p w14:paraId="676BFAA6" w14:textId="4A8D6037" w:rsidR="00CE1C83" w:rsidRPr="007366DC" w:rsidRDefault="007366DC" w:rsidP="007366DC">
      <w:pPr>
        <w:pStyle w:val="ListParagraph"/>
        <w:numPr>
          <w:ilvl w:val="0"/>
          <w:numId w:val="38"/>
        </w:numPr>
        <w:spacing w:before="120" w:after="120" w:line="240" w:lineRule="auto"/>
        <w:contextualSpacing w:val="0"/>
        <w:jc w:val="both"/>
        <w:rPr>
          <w:bCs/>
          <w:color w:val="000000" w:themeColor="text1"/>
          <w:lang w:val="en-US"/>
        </w:rPr>
      </w:pPr>
      <w:r>
        <w:rPr>
          <w:rFonts w:ascii="Calibri" w:hAnsi="Calibri" w:cs="Calibri"/>
          <w:color w:val="000000"/>
        </w:rPr>
        <w:t xml:space="preserve">Finally, the governance reform process is also an opportunity to test out processes and </w:t>
      </w:r>
      <w:r w:rsidR="00CE1C83" w:rsidRPr="007366DC">
        <w:rPr>
          <w:rFonts w:ascii="Calibri" w:hAnsi="Calibri" w:cs="Calibri"/>
          <w:color w:val="000000"/>
        </w:rPr>
        <w:t>course</w:t>
      </w:r>
      <w:r>
        <w:rPr>
          <w:rFonts w:ascii="Calibri" w:hAnsi="Calibri" w:cs="Calibri"/>
          <w:color w:val="000000"/>
        </w:rPr>
        <w:t>-</w:t>
      </w:r>
      <w:r w:rsidR="00CE1C83" w:rsidRPr="007366DC">
        <w:rPr>
          <w:rFonts w:ascii="Calibri" w:hAnsi="Calibri" w:cs="Calibri"/>
          <w:color w:val="000000"/>
        </w:rPr>
        <w:t>correct</w:t>
      </w:r>
      <w:r>
        <w:rPr>
          <w:rFonts w:ascii="Calibri" w:hAnsi="Calibri" w:cs="Calibri"/>
          <w:color w:val="000000"/>
        </w:rPr>
        <w:t xml:space="preserve"> as may be required during the implementation period</w:t>
      </w:r>
      <w:r w:rsidR="00CE1C83" w:rsidRPr="007366DC">
        <w:rPr>
          <w:rFonts w:ascii="Calibri" w:hAnsi="Calibri" w:cs="Calibri"/>
          <w:color w:val="000000"/>
        </w:rPr>
        <w:t xml:space="preserve">. </w:t>
      </w:r>
    </w:p>
    <w:p w14:paraId="11D3FB16" w14:textId="0C544207" w:rsidR="004E0E12" w:rsidRDefault="004E0E12" w:rsidP="00BD3DAA">
      <w:pPr>
        <w:spacing w:before="120" w:after="120"/>
        <w:jc w:val="both"/>
        <w:rPr>
          <w:rFonts w:cstheme="minorHAnsi"/>
          <w:bCs/>
        </w:rPr>
      </w:pPr>
    </w:p>
    <w:tbl>
      <w:tblPr>
        <w:tblStyle w:val="TableGrid"/>
        <w:tblW w:w="0" w:type="auto"/>
        <w:tblLook w:val="04A0" w:firstRow="1" w:lastRow="0" w:firstColumn="1" w:lastColumn="0" w:noHBand="0" w:noVBand="1"/>
      </w:tblPr>
      <w:tblGrid>
        <w:gridCol w:w="562"/>
        <w:gridCol w:w="6543"/>
        <w:gridCol w:w="1911"/>
      </w:tblGrid>
      <w:tr w:rsidR="004E0E12" w14:paraId="3EAB2E79" w14:textId="77777777" w:rsidTr="008E4A19">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84E412" w14:textId="77777777" w:rsidR="004E0E12" w:rsidRDefault="004E0E12" w:rsidP="008E4A19">
            <w:pPr>
              <w:spacing w:before="120" w:after="120"/>
              <w:jc w:val="both"/>
              <w:rPr>
                <w:b/>
                <w:sz w:val="20"/>
                <w:szCs w:val="20"/>
                <w:lang w:val="en-US"/>
              </w:rPr>
            </w:pPr>
            <w:r>
              <w:rPr>
                <w:b/>
                <w:bCs/>
                <w:sz w:val="20"/>
                <w:szCs w:val="20"/>
              </w:rPr>
              <w:t> </w:t>
            </w:r>
          </w:p>
        </w:tc>
        <w:tc>
          <w:tcPr>
            <w:tcW w:w="6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E6014" w14:textId="77777777" w:rsidR="004E0E12" w:rsidRDefault="004E0E12" w:rsidP="008E4A19">
            <w:pPr>
              <w:spacing w:before="120" w:after="120"/>
              <w:jc w:val="both"/>
              <w:rPr>
                <w:b/>
                <w:sz w:val="20"/>
                <w:szCs w:val="20"/>
                <w:lang w:val="en-US"/>
              </w:rPr>
            </w:pPr>
            <w:r>
              <w:rPr>
                <w:b/>
                <w:bCs/>
                <w:color w:val="000000"/>
                <w:sz w:val="20"/>
                <w:szCs w:val="20"/>
              </w:rPr>
              <w:t>Decision / Action</w:t>
            </w:r>
          </w:p>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28BB6E" w14:textId="77777777" w:rsidR="004E0E12" w:rsidRDefault="004E0E12" w:rsidP="008E4A19">
            <w:pPr>
              <w:spacing w:before="120" w:after="120"/>
              <w:jc w:val="both"/>
              <w:rPr>
                <w:b/>
                <w:sz w:val="20"/>
                <w:szCs w:val="20"/>
                <w:lang w:val="en-US"/>
              </w:rPr>
            </w:pPr>
            <w:r>
              <w:rPr>
                <w:b/>
                <w:bCs/>
                <w:color w:val="000000"/>
                <w:sz w:val="20"/>
                <w:szCs w:val="20"/>
              </w:rPr>
              <w:t>Responsibility</w:t>
            </w:r>
          </w:p>
        </w:tc>
      </w:tr>
      <w:tr w:rsidR="004E0E12" w14:paraId="33BB4140" w14:textId="77777777" w:rsidTr="008E4A19">
        <w:tc>
          <w:tcPr>
            <w:tcW w:w="562" w:type="dxa"/>
            <w:tcBorders>
              <w:top w:val="single" w:sz="4" w:space="0" w:color="auto"/>
              <w:left w:val="single" w:sz="4" w:space="0" w:color="auto"/>
              <w:bottom w:val="single" w:sz="4" w:space="0" w:color="auto"/>
              <w:right w:val="single" w:sz="4" w:space="0" w:color="auto"/>
            </w:tcBorders>
            <w:hideMark/>
          </w:tcPr>
          <w:p w14:paraId="4822A4AF" w14:textId="77777777" w:rsidR="004E0E12" w:rsidRDefault="004E0E12" w:rsidP="008E4A19">
            <w:pPr>
              <w:spacing w:before="60" w:after="60"/>
              <w:jc w:val="both"/>
              <w:rPr>
                <w:sz w:val="20"/>
                <w:szCs w:val="20"/>
                <w:lang w:val="en-US"/>
              </w:rPr>
            </w:pPr>
            <w:r>
              <w:rPr>
                <w:sz w:val="20"/>
                <w:szCs w:val="20"/>
              </w:rPr>
              <w:t>2.1</w:t>
            </w:r>
          </w:p>
        </w:tc>
        <w:tc>
          <w:tcPr>
            <w:tcW w:w="6543" w:type="dxa"/>
            <w:tcBorders>
              <w:top w:val="single" w:sz="4" w:space="0" w:color="auto"/>
              <w:left w:val="single" w:sz="4" w:space="0" w:color="auto"/>
              <w:bottom w:val="single" w:sz="4" w:space="0" w:color="auto"/>
              <w:right w:val="single" w:sz="4" w:space="0" w:color="auto"/>
            </w:tcBorders>
            <w:hideMark/>
          </w:tcPr>
          <w:p w14:paraId="7414A769" w14:textId="77777777" w:rsidR="004E0E12" w:rsidRDefault="004E0E12" w:rsidP="008E4A19">
            <w:pPr>
              <w:spacing w:before="60" w:after="60"/>
              <w:jc w:val="both"/>
              <w:rPr>
                <w:sz w:val="20"/>
                <w:szCs w:val="20"/>
                <w:lang w:val="en-US"/>
              </w:rPr>
            </w:pPr>
            <w:r>
              <w:rPr>
                <w:sz w:val="20"/>
                <w:szCs w:val="20"/>
              </w:rPr>
              <w:t xml:space="preserve">Agreement that the presented solutions are an excellent opportunity to build partnerships across communities through the proposed Communities of Practice mechanism, with governance processes being supportive of this overall approach.  </w:t>
            </w:r>
          </w:p>
        </w:tc>
        <w:tc>
          <w:tcPr>
            <w:tcW w:w="1911" w:type="dxa"/>
            <w:tcBorders>
              <w:top w:val="single" w:sz="4" w:space="0" w:color="auto"/>
              <w:left w:val="single" w:sz="4" w:space="0" w:color="auto"/>
              <w:bottom w:val="single" w:sz="4" w:space="0" w:color="auto"/>
              <w:right w:val="single" w:sz="4" w:space="0" w:color="auto"/>
            </w:tcBorders>
            <w:hideMark/>
          </w:tcPr>
          <w:p w14:paraId="57675F2E" w14:textId="77777777" w:rsidR="004E0E12" w:rsidRDefault="004E0E12" w:rsidP="008E4A19">
            <w:pPr>
              <w:jc w:val="both"/>
              <w:rPr>
                <w:sz w:val="20"/>
                <w:szCs w:val="20"/>
                <w:lang w:val="en-US"/>
              </w:rPr>
            </w:pPr>
            <w:r>
              <w:rPr>
                <w:sz w:val="20"/>
                <w:szCs w:val="20"/>
              </w:rPr>
              <w:t> GNC</w:t>
            </w:r>
          </w:p>
        </w:tc>
      </w:tr>
      <w:tr w:rsidR="004E0E12" w14:paraId="49313056" w14:textId="77777777" w:rsidTr="008E4A19">
        <w:tc>
          <w:tcPr>
            <w:tcW w:w="562" w:type="dxa"/>
            <w:tcBorders>
              <w:top w:val="single" w:sz="4" w:space="0" w:color="auto"/>
              <w:left w:val="single" w:sz="4" w:space="0" w:color="auto"/>
              <w:bottom w:val="single" w:sz="4" w:space="0" w:color="auto"/>
              <w:right w:val="single" w:sz="4" w:space="0" w:color="auto"/>
            </w:tcBorders>
            <w:hideMark/>
          </w:tcPr>
          <w:p w14:paraId="31C3106A" w14:textId="77777777" w:rsidR="004E0E12" w:rsidRDefault="004E0E12" w:rsidP="008E4A19">
            <w:pPr>
              <w:spacing w:before="60" w:after="60"/>
              <w:jc w:val="both"/>
              <w:rPr>
                <w:sz w:val="20"/>
                <w:szCs w:val="20"/>
                <w:lang w:val="en-US"/>
              </w:rPr>
            </w:pPr>
            <w:r>
              <w:rPr>
                <w:sz w:val="20"/>
                <w:szCs w:val="20"/>
              </w:rPr>
              <w:t>2.2</w:t>
            </w:r>
          </w:p>
        </w:tc>
        <w:tc>
          <w:tcPr>
            <w:tcW w:w="6543" w:type="dxa"/>
            <w:tcBorders>
              <w:top w:val="single" w:sz="4" w:space="0" w:color="auto"/>
              <w:left w:val="single" w:sz="4" w:space="0" w:color="auto"/>
              <w:bottom w:val="single" w:sz="4" w:space="0" w:color="auto"/>
              <w:right w:val="single" w:sz="4" w:space="0" w:color="auto"/>
            </w:tcBorders>
            <w:hideMark/>
          </w:tcPr>
          <w:p w14:paraId="23597605" w14:textId="77777777" w:rsidR="004E0E12" w:rsidRDefault="004E0E12" w:rsidP="008E4A19">
            <w:pPr>
              <w:spacing w:before="60" w:after="60"/>
              <w:jc w:val="both"/>
              <w:rPr>
                <w:sz w:val="20"/>
                <w:szCs w:val="20"/>
                <w:lang w:val="en-US"/>
              </w:rPr>
            </w:pPr>
            <w:r>
              <w:rPr>
                <w:sz w:val="20"/>
                <w:szCs w:val="20"/>
              </w:rPr>
              <w:t>Creation of the Strategic Advocacy Committee is important and welcomed.  However, issues that it debates may not always be strictly ‘advocacy’ related. As such, it will be important to retain a degree of flexibility in the work and membership of this committee (e.g. to ensure involvement of the current Strategic Committee members) so that it is able to discuss broader strategic issues, as well as some of the strategic functions are embraced by the Country Engagement Working Group.</w:t>
            </w:r>
          </w:p>
        </w:tc>
        <w:tc>
          <w:tcPr>
            <w:tcW w:w="1911" w:type="dxa"/>
            <w:tcBorders>
              <w:top w:val="single" w:sz="4" w:space="0" w:color="auto"/>
              <w:left w:val="single" w:sz="4" w:space="0" w:color="auto"/>
              <w:bottom w:val="single" w:sz="4" w:space="0" w:color="auto"/>
              <w:right w:val="single" w:sz="4" w:space="0" w:color="auto"/>
            </w:tcBorders>
            <w:hideMark/>
          </w:tcPr>
          <w:p w14:paraId="3A116A8B" w14:textId="77777777" w:rsidR="004E0E12" w:rsidRDefault="004E0E12" w:rsidP="008E4A19">
            <w:pPr>
              <w:jc w:val="both"/>
              <w:rPr>
                <w:sz w:val="20"/>
                <w:szCs w:val="20"/>
                <w:lang w:val="en-US"/>
              </w:rPr>
            </w:pPr>
            <w:r>
              <w:rPr>
                <w:sz w:val="20"/>
                <w:szCs w:val="20"/>
              </w:rPr>
              <w:t>GNC</w:t>
            </w:r>
          </w:p>
        </w:tc>
      </w:tr>
      <w:tr w:rsidR="004E0E12" w14:paraId="71B23EC7" w14:textId="77777777" w:rsidTr="008E4A19">
        <w:tc>
          <w:tcPr>
            <w:tcW w:w="562" w:type="dxa"/>
            <w:tcBorders>
              <w:top w:val="single" w:sz="4" w:space="0" w:color="auto"/>
              <w:left w:val="single" w:sz="4" w:space="0" w:color="auto"/>
              <w:bottom w:val="single" w:sz="4" w:space="0" w:color="auto"/>
              <w:right w:val="single" w:sz="4" w:space="0" w:color="auto"/>
            </w:tcBorders>
            <w:hideMark/>
          </w:tcPr>
          <w:p w14:paraId="7F1824E9" w14:textId="77777777" w:rsidR="004E0E12" w:rsidRDefault="004E0E12" w:rsidP="008E4A19">
            <w:pPr>
              <w:spacing w:before="60" w:after="60"/>
              <w:jc w:val="both"/>
              <w:rPr>
                <w:sz w:val="20"/>
                <w:szCs w:val="20"/>
                <w:lang w:val="en-US"/>
              </w:rPr>
            </w:pPr>
            <w:r>
              <w:rPr>
                <w:sz w:val="20"/>
                <w:szCs w:val="20"/>
              </w:rPr>
              <w:t>2.3</w:t>
            </w:r>
          </w:p>
        </w:tc>
        <w:tc>
          <w:tcPr>
            <w:tcW w:w="6543" w:type="dxa"/>
            <w:tcBorders>
              <w:top w:val="single" w:sz="4" w:space="0" w:color="auto"/>
              <w:left w:val="single" w:sz="4" w:space="0" w:color="auto"/>
              <w:bottom w:val="single" w:sz="4" w:space="0" w:color="auto"/>
              <w:right w:val="single" w:sz="4" w:space="0" w:color="auto"/>
            </w:tcBorders>
            <w:hideMark/>
          </w:tcPr>
          <w:p w14:paraId="5C4CFE65" w14:textId="77777777" w:rsidR="004E0E12" w:rsidRDefault="004E0E12" w:rsidP="008E4A19">
            <w:pPr>
              <w:spacing w:before="60" w:after="60"/>
              <w:jc w:val="both"/>
              <w:rPr>
                <w:sz w:val="20"/>
                <w:szCs w:val="20"/>
                <w:lang w:val="en-US"/>
              </w:rPr>
            </w:pPr>
            <w:r>
              <w:rPr>
                <w:sz w:val="20"/>
                <w:szCs w:val="20"/>
              </w:rPr>
              <w:t>Agreement to keep the same individuals representing their respective constituency on the Executive Committee, although with potentially having one other person as an Alternate, in case the member is unable to join or leaves. Advantages of doing so include ensuring the development and maintenance of institutional memory, and building working relationships between members of the EC.</w:t>
            </w:r>
          </w:p>
        </w:tc>
        <w:tc>
          <w:tcPr>
            <w:tcW w:w="1911" w:type="dxa"/>
            <w:tcBorders>
              <w:top w:val="single" w:sz="4" w:space="0" w:color="auto"/>
              <w:left w:val="single" w:sz="4" w:space="0" w:color="auto"/>
              <w:bottom w:val="single" w:sz="4" w:space="0" w:color="auto"/>
              <w:right w:val="single" w:sz="4" w:space="0" w:color="auto"/>
            </w:tcBorders>
            <w:hideMark/>
          </w:tcPr>
          <w:p w14:paraId="10C85D5C" w14:textId="77777777" w:rsidR="004E0E12" w:rsidRDefault="004E0E12" w:rsidP="008E4A19">
            <w:pPr>
              <w:jc w:val="both"/>
              <w:rPr>
                <w:sz w:val="20"/>
                <w:szCs w:val="20"/>
                <w:lang w:val="en-US"/>
              </w:rPr>
            </w:pPr>
            <w:r>
              <w:rPr>
                <w:sz w:val="20"/>
                <w:szCs w:val="20"/>
              </w:rPr>
              <w:t> GNC</w:t>
            </w:r>
          </w:p>
        </w:tc>
      </w:tr>
      <w:tr w:rsidR="004E0E12" w14:paraId="65556775" w14:textId="77777777" w:rsidTr="008E4A19">
        <w:tc>
          <w:tcPr>
            <w:tcW w:w="562" w:type="dxa"/>
            <w:tcBorders>
              <w:top w:val="single" w:sz="4" w:space="0" w:color="auto"/>
              <w:left w:val="single" w:sz="4" w:space="0" w:color="auto"/>
              <w:bottom w:val="single" w:sz="4" w:space="0" w:color="auto"/>
              <w:right w:val="single" w:sz="4" w:space="0" w:color="auto"/>
            </w:tcBorders>
            <w:hideMark/>
          </w:tcPr>
          <w:p w14:paraId="5E1F4683" w14:textId="77777777" w:rsidR="004E0E12" w:rsidRDefault="004E0E12" w:rsidP="008E4A19">
            <w:pPr>
              <w:spacing w:before="60" w:after="60"/>
              <w:jc w:val="both"/>
              <w:rPr>
                <w:sz w:val="20"/>
                <w:szCs w:val="20"/>
                <w:lang w:val="en-US"/>
              </w:rPr>
            </w:pPr>
            <w:r>
              <w:rPr>
                <w:sz w:val="20"/>
                <w:szCs w:val="20"/>
              </w:rPr>
              <w:t>2.4</w:t>
            </w:r>
          </w:p>
        </w:tc>
        <w:tc>
          <w:tcPr>
            <w:tcW w:w="6543" w:type="dxa"/>
            <w:tcBorders>
              <w:top w:val="single" w:sz="4" w:space="0" w:color="auto"/>
              <w:left w:val="single" w:sz="4" w:space="0" w:color="auto"/>
              <w:bottom w:val="single" w:sz="4" w:space="0" w:color="auto"/>
              <w:right w:val="single" w:sz="4" w:space="0" w:color="auto"/>
            </w:tcBorders>
            <w:hideMark/>
          </w:tcPr>
          <w:p w14:paraId="70E0F0EB" w14:textId="77777777" w:rsidR="004E0E12" w:rsidRDefault="004E0E12" w:rsidP="008E4A19">
            <w:pPr>
              <w:spacing w:before="60" w:after="60"/>
              <w:jc w:val="both"/>
              <w:rPr>
                <w:sz w:val="20"/>
                <w:szCs w:val="20"/>
                <w:lang w:val="en-US"/>
              </w:rPr>
            </w:pPr>
            <w:r>
              <w:rPr>
                <w:sz w:val="20"/>
                <w:szCs w:val="20"/>
              </w:rPr>
              <w:t>Important to balance inclusion and representation, with the need to streamline processes and ensure efficient operations.</w:t>
            </w:r>
          </w:p>
        </w:tc>
        <w:tc>
          <w:tcPr>
            <w:tcW w:w="1911" w:type="dxa"/>
            <w:tcBorders>
              <w:top w:val="single" w:sz="4" w:space="0" w:color="auto"/>
              <w:left w:val="single" w:sz="4" w:space="0" w:color="auto"/>
              <w:bottom w:val="single" w:sz="4" w:space="0" w:color="auto"/>
              <w:right w:val="single" w:sz="4" w:space="0" w:color="auto"/>
            </w:tcBorders>
            <w:hideMark/>
          </w:tcPr>
          <w:p w14:paraId="008765B4" w14:textId="77777777" w:rsidR="004E0E12" w:rsidRDefault="004E0E12" w:rsidP="008E4A19">
            <w:pPr>
              <w:jc w:val="both"/>
              <w:rPr>
                <w:sz w:val="20"/>
                <w:szCs w:val="20"/>
                <w:lang w:val="en-US"/>
              </w:rPr>
            </w:pPr>
            <w:r>
              <w:rPr>
                <w:sz w:val="20"/>
                <w:szCs w:val="20"/>
              </w:rPr>
              <w:t> GNC</w:t>
            </w:r>
          </w:p>
        </w:tc>
      </w:tr>
      <w:tr w:rsidR="004E0E12" w14:paraId="670B3B84" w14:textId="77777777" w:rsidTr="008E4A19">
        <w:tc>
          <w:tcPr>
            <w:tcW w:w="562" w:type="dxa"/>
            <w:tcBorders>
              <w:top w:val="single" w:sz="4" w:space="0" w:color="auto"/>
              <w:left w:val="single" w:sz="4" w:space="0" w:color="auto"/>
              <w:bottom w:val="single" w:sz="4" w:space="0" w:color="auto"/>
              <w:right w:val="single" w:sz="4" w:space="0" w:color="auto"/>
            </w:tcBorders>
            <w:hideMark/>
          </w:tcPr>
          <w:p w14:paraId="186ECEC5" w14:textId="77777777" w:rsidR="004E0E12" w:rsidRDefault="004E0E12" w:rsidP="008E4A19">
            <w:pPr>
              <w:spacing w:before="60" w:after="60"/>
              <w:jc w:val="both"/>
              <w:rPr>
                <w:sz w:val="20"/>
                <w:szCs w:val="20"/>
              </w:rPr>
            </w:pPr>
            <w:r>
              <w:rPr>
                <w:sz w:val="20"/>
                <w:szCs w:val="20"/>
              </w:rPr>
              <w:t>2.5</w:t>
            </w:r>
          </w:p>
        </w:tc>
        <w:tc>
          <w:tcPr>
            <w:tcW w:w="6543" w:type="dxa"/>
            <w:tcBorders>
              <w:top w:val="single" w:sz="4" w:space="0" w:color="auto"/>
              <w:left w:val="single" w:sz="4" w:space="0" w:color="auto"/>
              <w:bottom w:val="single" w:sz="4" w:space="0" w:color="auto"/>
              <w:right w:val="single" w:sz="4" w:space="0" w:color="auto"/>
            </w:tcBorders>
            <w:hideMark/>
          </w:tcPr>
          <w:p w14:paraId="6DFF23A5" w14:textId="77777777" w:rsidR="004E0E12" w:rsidRDefault="004E0E12" w:rsidP="008E4A19">
            <w:pPr>
              <w:spacing w:before="60" w:after="60"/>
              <w:jc w:val="both"/>
              <w:rPr>
                <w:sz w:val="20"/>
                <w:szCs w:val="20"/>
              </w:rPr>
            </w:pPr>
            <w:r>
              <w:rPr>
                <w:sz w:val="20"/>
                <w:szCs w:val="20"/>
              </w:rPr>
              <w:t>It is important that the new governance structures and ways of working take account of the risks associated with the digital divide, bearing this in mind as a potential barrier to inclusiveness and therefore suggesting solutions.</w:t>
            </w:r>
          </w:p>
        </w:tc>
        <w:tc>
          <w:tcPr>
            <w:tcW w:w="1911" w:type="dxa"/>
            <w:tcBorders>
              <w:top w:val="single" w:sz="4" w:space="0" w:color="auto"/>
              <w:left w:val="single" w:sz="4" w:space="0" w:color="auto"/>
              <w:bottom w:val="single" w:sz="4" w:space="0" w:color="auto"/>
              <w:right w:val="single" w:sz="4" w:space="0" w:color="auto"/>
            </w:tcBorders>
            <w:hideMark/>
          </w:tcPr>
          <w:p w14:paraId="7007671A" w14:textId="77777777" w:rsidR="004E0E12" w:rsidRDefault="004E0E12" w:rsidP="008E4A19">
            <w:pPr>
              <w:jc w:val="both"/>
              <w:rPr>
                <w:sz w:val="20"/>
                <w:szCs w:val="20"/>
              </w:rPr>
            </w:pPr>
            <w:r>
              <w:rPr>
                <w:sz w:val="20"/>
                <w:szCs w:val="20"/>
              </w:rPr>
              <w:t> GNC</w:t>
            </w:r>
          </w:p>
        </w:tc>
      </w:tr>
      <w:tr w:rsidR="004E0E12" w14:paraId="7BE3025D" w14:textId="77777777" w:rsidTr="008E4A19">
        <w:tc>
          <w:tcPr>
            <w:tcW w:w="562" w:type="dxa"/>
            <w:tcBorders>
              <w:top w:val="single" w:sz="4" w:space="0" w:color="auto"/>
              <w:left w:val="single" w:sz="4" w:space="0" w:color="auto"/>
              <w:bottom w:val="single" w:sz="4" w:space="0" w:color="auto"/>
              <w:right w:val="single" w:sz="4" w:space="0" w:color="auto"/>
            </w:tcBorders>
            <w:hideMark/>
          </w:tcPr>
          <w:p w14:paraId="34F72686" w14:textId="77777777" w:rsidR="004E0E12" w:rsidRDefault="004E0E12" w:rsidP="008E4A19">
            <w:pPr>
              <w:spacing w:before="60" w:after="60"/>
              <w:jc w:val="both"/>
              <w:rPr>
                <w:sz w:val="20"/>
                <w:szCs w:val="20"/>
              </w:rPr>
            </w:pPr>
            <w:r>
              <w:rPr>
                <w:sz w:val="20"/>
                <w:szCs w:val="20"/>
              </w:rPr>
              <w:lastRenderedPageBreak/>
              <w:t>2.6</w:t>
            </w:r>
          </w:p>
        </w:tc>
        <w:tc>
          <w:tcPr>
            <w:tcW w:w="6543" w:type="dxa"/>
            <w:tcBorders>
              <w:top w:val="single" w:sz="4" w:space="0" w:color="auto"/>
              <w:left w:val="single" w:sz="4" w:space="0" w:color="auto"/>
              <w:bottom w:val="single" w:sz="4" w:space="0" w:color="auto"/>
              <w:right w:val="single" w:sz="4" w:space="0" w:color="auto"/>
            </w:tcBorders>
            <w:hideMark/>
          </w:tcPr>
          <w:p w14:paraId="088DA7EB" w14:textId="77777777" w:rsidR="004E0E12" w:rsidRDefault="004E0E12" w:rsidP="008E4A19">
            <w:pPr>
              <w:spacing w:before="60" w:after="60"/>
              <w:jc w:val="both"/>
              <w:rPr>
                <w:sz w:val="20"/>
                <w:szCs w:val="20"/>
              </w:rPr>
            </w:pPr>
            <w:r>
              <w:rPr>
                <w:sz w:val="20"/>
                <w:szCs w:val="20"/>
              </w:rPr>
              <w:t>It would be helpful to document and then share best practices of intra-constituency communication and build on such lessons to improve interaction between constituencies in the context of the new model.</w:t>
            </w:r>
          </w:p>
        </w:tc>
        <w:tc>
          <w:tcPr>
            <w:tcW w:w="1911" w:type="dxa"/>
            <w:tcBorders>
              <w:top w:val="single" w:sz="4" w:space="0" w:color="auto"/>
              <w:left w:val="single" w:sz="4" w:space="0" w:color="auto"/>
              <w:bottom w:val="single" w:sz="4" w:space="0" w:color="auto"/>
              <w:right w:val="single" w:sz="4" w:space="0" w:color="auto"/>
            </w:tcBorders>
            <w:hideMark/>
          </w:tcPr>
          <w:p w14:paraId="3D6F8F8E" w14:textId="77777777" w:rsidR="004E0E12" w:rsidRDefault="004E0E12" w:rsidP="008E4A19">
            <w:pPr>
              <w:jc w:val="both"/>
              <w:rPr>
                <w:sz w:val="20"/>
                <w:szCs w:val="20"/>
              </w:rPr>
            </w:pPr>
            <w:r>
              <w:rPr>
                <w:sz w:val="20"/>
                <w:szCs w:val="20"/>
              </w:rPr>
              <w:t> GNC</w:t>
            </w:r>
          </w:p>
        </w:tc>
      </w:tr>
      <w:tr w:rsidR="004E0E12" w14:paraId="4EEB80A6" w14:textId="77777777" w:rsidTr="008E4A19">
        <w:tc>
          <w:tcPr>
            <w:tcW w:w="562" w:type="dxa"/>
            <w:tcBorders>
              <w:top w:val="single" w:sz="4" w:space="0" w:color="auto"/>
              <w:left w:val="single" w:sz="4" w:space="0" w:color="auto"/>
              <w:bottom w:val="single" w:sz="4" w:space="0" w:color="auto"/>
              <w:right w:val="single" w:sz="4" w:space="0" w:color="auto"/>
            </w:tcBorders>
            <w:hideMark/>
          </w:tcPr>
          <w:p w14:paraId="4EDEAA70" w14:textId="77777777" w:rsidR="004E0E12" w:rsidRDefault="004E0E12" w:rsidP="008E4A19">
            <w:pPr>
              <w:spacing w:before="60" w:after="60"/>
              <w:jc w:val="both"/>
              <w:rPr>
                <w:sz w:val="20"/>
                <w:szCs w:val="20"/>
              </w:rPr>
            </w:pPr>
            <w:r>
              <w:rPr>
                <w:sz w:val="20"/>
                <w:szCs w:val="20"/>
              </w:rPr>
              <w:t>2.7</w:t>
            </w:r>
          </w:p>
        </w:tc>
        <w:tc>
          <w:tcPr>
            <w:tcW w:w="6543" w:type="dxa"/>
            <w:tcBorders>
              <w:top w:val="single" w:sz="4" w:space="0" w:color="auto"/>
              <w:left w:val="single" w:sz="4" w:space="0" w:color="auto"/>
              <w:bottom w:val="single" w:sz="4" w:space="0" w:color="auto"/>
              <w:right w:val="single" w:sz="4" w:space="0" w:color="auto"/>
            </w:tcBorders>
            <w:hideMark/>
          </w:tcPr>
          <w:p w14:paraId="4F3D5FE1" w14:textId="77777777" w:rsidR="004E0E12" w:rsidRDefault="004E0E12" w:rsidP="008E4A19">
            <w:pPr>
              <w:spacing w:before="60" w:after="60"/>
              <w:jc w:val="both"/>
              <w:rPr>
                <w:sz w:val="20"/>
                <w:szCs w:val="20"/>
              </w:rPr>
            </w:pPr>
            <w:r>
              <w:rPr>
                <w:sz w:val="20"/>
                <w:szCs w:val="20"/>
              </w:rPr>
              <w:t xml:space="preserve">It is important that working groups or committees that have served their need are closed or changed, ensuring ongoing relevance of all structures to service the overall objective of the work. </w:t>
            </w:r>
          </w:p>
        </w:tc>
        <w:tc>
          <w:tcPr>
            <w:tcW w:w="1911" w:type="dxa"/>
            <w:tcBorders>
              <w:top w:val="single" w:sz="4" w:space="0" w:color="auto"/>
              <w:left w:val="single" w:sz="4" w:space="0" w:color="auto"/>
              <w:bottom w:val="single" w:sz="4" w:space="0" w:color="auto"/>
              <w:right w:val="single" w:sz="4" w:space="0" w:color="auto"/>
            </w:tcBorders>
            <w:hideMark/>
          </w:tcPr>
          <w:p w14:paraId="009428BD" w14:textId="77777777" w:rsidR="004E0E12" w:rsidRDefault="004E0E12" w:rsidP="008E4A19">
            <w:pPr>
              <w:jc w:val="both"/>
              <w:rPr>
                <w:sz w:val="20"/>
                <w:szCs w:val="20"/>
              </w:rPr>
            </w:pPr>
            <w:r>
              <w:rPr>
                <w:sz w:val="20"/>
                <w:szCs w:val="20"/>
              </w:rPr>
              <w:t> GNC</w:t>
            </w:r>
          </w:p>
        </w:tc>
      </w:tr>
      <w:tr w:rsidR="004E0E12" w14:paraId="31B14920" w14:textId="77777777" w:rsidTr="008E4A19">
        <w:tc>
          <w:tcPr>
            <w:tcW w:w="562" w:type="dxa"/>
            <w:tcBorders>
              <w:top w:val="single" w:sz="4" w:space="0" w:color="auto"/>
              <w:left w:val="single" w:sz="4" w:space="0" w:color="auto"/>
              <w:bottom w:val="single" w:sz="4" w:space="0" w:color="auto"/>
              <w:right w:val="single" w:sz="4" w:space="0" w:color="auto"/>
            </w:tcBorders>
            <w:hideMark/>
          </w:tcPr>
          <w:p w14:paraId="3BB33DAB" w14:textId="77777777" w:rsidR="004E0E12" w:rsidRDefault="004E0E12" w:rsidP="008E4A19">
            <w:pPr>
              <w:spacing w:before="60" w:after="60"/>
              <w:jc w:val="both"/>
              <w:rPr>
                <w:sz w:val="20"/>
                <w:szCs w:val="20"/>
              </w:rPr>
            </w:pPr>
            <w:r>
              <w:rPr>
                <w:sz w:val="20"/>
                <w:szCs w:val="20"/>
              </w:rPr>
              <w:t>2.8</w:t>
            </w:r>
          </w:p>
        </w:tc>
        <w:tc>
          <w:tcPr>
            <w:tcW w:w="6543" w:type="dxa"/>
            <w:tcBorders>
              <w:top w:val="single" w:sz="4" w:space="0" w:color="auto"/>
              <w:left w:val="single" w:sz="4" w:space="0" w:color="auto"/>
              <w:bottom w:val="single" w:sz="4" w:space="0" w:color="auto"/>
              <w:right w:val="single" w:sz="4" w:space="0" w:color="auto"/>
            </w:tcBorders>
            <w:hideMark/>
          </w:tcPr>
          <w:p w14:paraId="6651947F" w14:textId="77777777" w:rsidR="004E0E12" w:rsidRDefault="004E0E12" w:rsidP="008E4A19">
            <w:pPr>
              <w:spacing w:before="60" w:after="60"/>
              <w:jc w:val="both"/>
              <w:rPr>
                <w:sz w:val="20"/>
                <w:szCs w:val="20"/>
              </w:rPr>
            </w:pPr>
            <w:r>
              <w:rPr>
                <w:sz w:val="20"/>
                <w:szCs w:val="20"/>
              </w:rPr>
              <w:t>Comments on the paper are to be received from the EC in writing no later than close of business on Friday 27 November 2020, but preferably earlier.</w:t>
            </w:r>
          </w:p>
        </w:tc>
        <w:tc>
          <w:tcPr>
            <w:tcW w:w="1911" w:type="dxa"/>
            <w:tcBorders>
              <w:top w:val="single" w:sz="4" w:space="0" w:color="auto"/>
              <w:left w:val="single" w:sz="4" w:space="0" w:color="auto"/>
              <w:bottom w:val="single" w:sz="4" w:space="0" w:color="auto"/>
              <w:right w:val="single" w:sz="4" w:space="0" w:color="auto"/>
            </w:tcBorders>
            <w:hideMark/>
          </w:tcPr>
          <w:p w14:paraId="62BAC1FF" w14:textId="77777777" w:rsidR="004E0E12" w:rsidRDefault="004E0E12" w:rsidP="008E4A19">
            <w:pPr>
              <w:jc w:val="both"/>
              <w:rPr>
                <w:sz w:val="20"/>
                <w:szCs w:val="20"/>
              </w:rPr>
            </w:pPr>
            <w:r>
              <w:rPr>
                <w:sz w:val="20"/>
                <w:szCs w:val="20"/>
              </w:rPr>
              <w:t> EC</w:t>
            </w:r>
          </w:p>
        </w:tc>
      </w:tr>
    </w:tbl>
    <w:p w14:paraId="6DC58B7B" w14:textId="77777777" w:rsidR="004E0E12" w:rsidRDefault="004E0E12" w:rsidP="00AF27ED">
      <w:pPr>
        <w:pStyle w:val="ListParagraph"/>
        <w:spacing w:before="360" w:after="360" w:line="240" w:lineRule="auto"/>
        <w:ind w:left="360"/>
        <w:jc w:val="both"/>
        <w:rPr>
          <w:b/>
          <w:color w:val="7030A0"/>
          <w:lang w:val="en-US"/>
        </w:rPr>
      </w:pPr>
    </w:p>
    <w:p w14:paraId="2FF146B5" w14:textId="5209D6A3" w:rsidR="00BD3DAA" w:rsidRDefault="00BD3DAA" w:rsidP="00BD3DAA">
      <w:pPr>
        <w:pStyle w:val="ListParagraph"/>
        <w:numPr>
          <w:ilvl w:val="0"/>
          <w:numId w:val="26"/>
        </w:numPr>
        <w:spacing w:before="360" w:after="360" w:line="240" w:lineRule="auto"/>
        <w:jc w:val="both"/>
        <w:rPr>
          <w:b/>
          <w:color w:val="7030A0"/>
          <w:lang w:val="en-US"/>
        </w:rPr>
      </w:pPr>
      <w:r>
        <w:rPr>
          <w:b/>
          <w:color w:val="7030A0"/>
          <w:lang w:val="en-US"/>
        </w:rPr>
        <w:t xml:space="preserve">Item 3 – </w:t>
      </w:r>
      <w:r w:rsidR="00213BA3" w:rsidRPr="00213BA3">
        <w:rPr>
          <w:b/>
          <w:color w:val="7030A0"/>
          <w:lang w:val="en-US"/>
        </w:rPr>
        <w:t xml:space="preserve">PMNCH </w:t>
      </w:r>
      <w:r w:rsidR="00BC42CE">
        <w:rPr>
          <w:b/>
          <w:color w:val="7030A0"/>
          <w:lang w:val="en-US"/>
        </w:rPr>
        <w:t>re</w:t>
      </w:r>
      <w:r w:rsidR="00213BA3" w:rsidRPr="00213BA3">
        <w:rPr>
          <w:b/>
          <w:color w:val="7030A0"/>
          <w:lang w:val="en-US"/>
        </w:rPr>
        <w:t>branding</w:t>
      </w:r>
    </w:p>
    <w:p w14:paraId="56326A70" w14:textId="77777777" w:rsidR="00BD3DAA" w:rsidRDefault="00BD3DAA" w:rsidP="00BD3DAA">
      <w:pPr>
        <w:jc w:val="both"/>
        <w:rPr>
          <w:b/>
          <w:u w:val="single"/>
        </w:rPr>
      </w:pPr>
      <w:r>
        <w:rPr>
          <w:b/>
          <w:u w:val="single"/>
        </w:rPr>
        <w:t>Presentation</w:t>
      </w:r>
    </w:p>
    <w:p w14:paraId="2FA12AFD" w14:textId="22762B33" w:rsidR="0009700A" w:rsidRDefault="00BC42CE" w:rsidP="00BD3DAA">
      <w:pPr>
        <w:spacing w:before="120" w:after="120"/>
        <w:jc w:val="both"/>
        <w:rPr>
          <w:rFonts w:cstheme="minorHAnsi"/>
          <w:bCs/>
        </w:rPr>
      </w:pPr>
      <w:r>
        <w:rPr>
          <w:rFonts w:cstheme="minorHAnsi"/>
          <w:bCs/>
        </w:rPr>
        <w:t xml:space="preserve">Anthony Lopez, from </w:t>
      </w:r>
      <w:r w:rsidRPr="00BC42CE">
        <w:rPr>
          <w:rFonts w:cstheme="minorHAnsi"/>
          <w:bCs/>
        </w:rPr>
        <w:t>Lopez Design</w:t>
      </w:r>
      <w:r w:rsidR="00BD3DAA">
        <w:rPr>
          <w:rFonts w:cstheme="minorHAnsi"/>
          <w:bCs/>
        </w:rPr>
        <w:t xml:space="preserve">, </w:t>
      </w:r>
      <w:r w:rsidR="0009700A">
        <w:rPr>
          <w:rFonts w:cstheme="minorHAnsi"/>
          <w:bCs/>
        </w:rPr>
        <w:t xml:space="preserve">presented </w:t>
      </w:r>
      <w:r>
        <w:rPr>
          <w:rFonts w:cstheme="minorHAnsi"/>
          <w:bCs/>
        </w:rPr>
        <w:t>on PMNCH’s rebranding</w:t>
      </w:r>
      <w:r w:rsidR="003A1434">
        <w:rPr>
          <w:rFonts w:cstheme="minorHAnsi"/>
          <w:bCs/>
        </w:rPr>
        <w:t xml:space="preserve"> process and options</w:t>
      </w:r>
      <w:r w:rsidR="0009700A">
        <w:rPr>
          <w:rFonts w:cstheme="minorHAnsi"/>
          <w:bCs/>
        </w:rPr>
        <w:t xml:space="preserve">. </w:t>
      </w:r>
    </w:p>
    <w:p w14:paraId="5ABED310" w14:textId="77777777" w:rsidR="00BD3DAA" w:rsidRDefault="00BD3DAA" w:rsidP="00BD3DAA">
      <w:pPr>
        <w:jc w:val="both"/>
        <w:rPr>
          <w:b/>
          <w:u w:val="single"/>
        </w:rPr>
      </w:pPr>
      <w:r>
        <w:rPr>
          <w:b/>
          <w:u w:val="single"/>
        </w:rPr>
        <w:t>Discussions</w:t>
      </w:r>
    </w:p>
    <w:p w14:paraId="4EBDE8AC" w14:textId="04565CB0" w:rsidR="00556D95" w:rsidRDefault="003B2197" w:rsidP="00A30094">
      <w:pPr>
        <w:pStyle w:val="ListParagraph"/>
        <w:numPr>
          <w:ilvl w:val="0"/>
          <w:numId w:val="38"/>
        </w:numPr>
        <w:spacing w:before="120" w:after="120" w:line="240" w:lineRule="auto"/>
        <w:contextualSpacing w:val="0"/>
        <w:jc w:val="both"/>
      </w:pPr>
      <w:r>
        <w:t xml:space="preserve">Executive Committee </w:t>
      </w:r>
      <w:r w:rsidR="005437A9">
        <w:t xml:space="preserve">noted the </w:t>
      </w:r>
      <w:r w:rsidR="00A30094">
        <w:t xml:space="preserve">high level of </w:t>
      </w:r>
      <w:r w:rsidR="00556D95">
        <w:t xml:space="preserve">cost </w:t>
      </w:r>
      <w:r w:rsidR="00927775">
        <w:t>effective</w:t>
      </w:r>
      <w:r w:rsidR="00556D95">
        <w:t>ness of the re-branding process, recognising that the work is undertaken by providers that know PMNCH well</w:t>
      </w:r>
      <w:r w:rsidR="00A9409C">
        <w:t xml:space="preserve"> and that have been involved in supporting PMNCH </w:t>
      </w:r>
      <w:r w:rsidR="00316484">
        <w:t>for many years.</w:t>
      </w:r>
    </w:p>
    <w:p w14:paraId="38C91207" w14:textId="77777777" w:rsidR="00A540FF" w:rsidRDefault="00E67A72" w:rsidP="00A540FF">
      <w:pPr>
        <w:pStyle w:val="ListParagraph"/>
        <w:numPr>
          <w:ilvl w:val="0"/>
          <w:numId w:val="38"/>
        </w:numPr>
        <w:spacing w:before="120" w:after="120" w:line="240" w:lineRule="auto"/>
        <w:contextualSpacing w:val="0"/>
        <w:jc w:val="both"/>
      </w:pPr>
      <w:r>
        <w:t>Overall, the proposed solutions were well received</w:t>
      </w:r>
      <w:r w:rsidR="00D8014A">
        <w:t xml:space="preserve">, reflecting the dynamic nature of the Partnership and its focus on advocacy. </w:t>
      </w:r>
    </w:p>
    <w:p w14:paraId="5D8439CC" w14:textId="12C3E85C" w:rsidR="00A60483" w:rsidRDefault="00A540FF" w:rsidP="00A540FF">
      <w:pPr>
        <w:pStyle w:val="ListParagraph"/>
        <w:numPr>
          <w:ilvl w:val="0"/>
          <w:numId w:val="38"/>
        </w:numPr>
        <w:spacing w:before="120" w:after="120" w:line="240" w:lineRule="auto"/>
        <w:contextualSpacing w:val="0"/>
        <w:jc w:val="both"/>
      </w:pPr>
      <w:r>
        <w:t>The “For” concept was much appreciated, allowing for</w:t>
      </w:r>
      <w:r w:rsidR="00C4434B">
        <w:t xml:space="preserve"> versatility, advocacy campaigns</w:t>
      </w:r>
      <w:r>
        <w:t xml:space="preserve">, and </w:t>
      </w:r>
      <w:r w:rsidR="00922344">
        <w:t xml:space="preserve">application in many circumstances. It was also recognized that the suggested logo will fit well into a square space, providing additional flexibility in the way the </w:t>
      </w:r>
      <w:r w:rsidR="004275B5">
        <w:t>logo will eventually be utilized.</w:t>
      </w:r>
    </w:p>
    <w:tbl>
      <w:tblPr>
        <w:tblStyle w:val="TableGrid"/>
        <w:tblW w:w="0" w:type="auto"/>
        <w:tblLook w:val="04A0" w:firstRow="1" w:lastRow="0" w:firstColumn="1" w:lastColumn="0" w:noHBand="0" w:noVBand="1"/>
      </w:tblPr>
      <w:tblGrid>
        <w:gridCol w:w="562"/>
        <w:gridCol w:w="6543"/>
        <w:gridCol w:w="1911"/>
      </w:tblGrid>
      <w:tr w:rsidR="007366DC" w14:paraId="154C3BE2" w14:textId="77777777" w:rsidTr="008E4A19">
        <w:trPr>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BAADF" w14:textId="77777777" w:rsidR="007366DC" w:rsidRDefault="007366DC" w:rsidP="008E4A19">
            <w:pPr>
              <w:spacing w:before="120" w:after="120"/>
              <w:rPr>
                <w:b/>
                <w:sz w:val="20"/>
                <w:szCs w:val="20"/>
                <w:lang w:val="en-US"/>
              </w:rPr>
            </w:pPr>
          </w:p>
        </w:tc>
        <w:tc>
          <w:tcPr>
            <w:tcW w:w="6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472100" w14:textId="77777777" w:rsidR="007366DC" w:rsidRDefault="007366DC" w:rsidP="008E4A19">
            <w:pPr>
              <w:spacing w:before="120" w:after="120"/>
              <w:rPr>
                <w:b/>
                <w:sz w:val="20"/>
                <w:szCs w:val="20"/>
                <w:lang w:val="en-US"/>
              </w:rPr>
            </w:pPr>
            <w:r>
              <w:rPr>
                <w:b/>
                <w:sz w:val="20"/>
                <w:szCs w:val="20"/>
                <w:lang w:val="en-US"/>
              </w:rPr>
              <w:t>Decision / Action</w:t>
            </w:r>
          </w:p>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C9DDBD" w14:textId="77777777" w:rsidR="007366DC" w:rsidRDefault="007366DC" w:rsidP="008E4A19">
            <w:pPr>
              <w:spacing w:before="120" w:after="120"/>
              <w:rPr>
                <w:b/>
                <w:sz w:val="20"/>
                <w:szCs w:val="20"/>
                <w:lang w:val="en-US"/>
              </w:rPr>
            </w:pPr>
            <w:r>
              <w:rPr>
                <w:b/>
                <w:sz w:val="20"/>
                <w:szCs w:val="20"/>
                <w:lang w:val="en-US"/>
              </w:rPr>
              <w:t>Responsibility</w:t>
            </w:r>
          </w:p>
        </w:tc>
      </w:tr>
      <w:tr w:rsidR="007366DC" w14:paraId="0C50C5E1" w14:textId="77777777" w:rsidTr="008E4A19">
        <w:trPr>
          <w:cantSplit/>
        </w:trPr>
        <w:tc>
          <w:tcPr>
            <w:tcW w:w="562" w:type="dxa"/>
            <w:tcBorders>
              <w:top w:val="single" w:sz="4" w:space="0" w:color="auto"/>
              <w:left w:val="single" w:sz="4" w:space="0" w:color="auto"/>
              <w:bottom w:val="single" w:sz="4" w:space="0" w:color="auto"/>
              <w:right w:val="single" w:sz="4" w:space="0" w:color="auto"/>
            </w:tcBorders>
            <w:hideMark/>
          </w:tcPr>
          <w:p w14:paraId="28A204A1" w14:textId="77777777" w:rsidR="007366DC" w:rsidRDefault="007366DC" w:rsidP="008E4A19">
            <w:pPr>
              <w:spacing w:before="60" w:after="60"/>
              <w:jc w:val="both"/>
              <w:rPr>
                <w:sz w:val="20"/>
                <w:szCs w:val="20"/>
                <w:lang w:val="en-US"/>
              </w:rPr>
            </w:pPr>
            <w:r>
              <w:rPr>
                <w:sz w:val="20"/>
                <w:szCs w:val="20"/>
                <w:lang w:val="en-US"/>
              </w:rPr>
              <w:t>3.1</w:t>
            </w:r>
          </w:p>
        </w:tc>
        <w:tc>
          <w:tcPr>
            <w:tcW w:w="6543" w:type="dxa"/>
            <w:tcBorders>
              <w:top w:val="single" w:sz="4" w:space="0" w:color="auto"/>
              <w:left w:val="single" w:sz="4" w:space="0" w:color="auto"/>
              <w:bottom w:val="single" w:sz="4" w:space="0" w:color="auto"/>
              <w:right w:val="single" w:sz="4" w:space="0" w:color="auto"/>
            </w:tcBorders>
            <w:hideMark/>
          </w:tcPr>
          <w:p w14:paraId="6A984F74" w14:textId="77777777" w:rsidR="007366DC" w:rsidRDefault="007366DC" w:rsidP="008E4A19">
            <w:pPr>
              <w:spacing w:before="60" w:after="60"/>
              <w:jc w:val="both"/>
              <w:rPr>
                <w:color w:val="000000"/>
                <w:sz w:val="20"/>
                <w:szCs w:val="20"/>
              </w:rPr>
            </w:pPr>
            <w:r>
              <w:rPr>
                <w:color w:val="000000" w:themeColor="text1"/>
                <w:sz w:val="20"/>
                <w:szCs w:val="20"/>
              </w:rPr>
              <w:t>Agreement with the ‘</w:t>
            </w:r>
            <w:r>
              <w:rPr>
                <w:i/>
                <w:iCs/>
                <w:color w:val="000000" w:themeColor="text1"/>
                <w:sz w:val="20"/>
                <w:szCs w:val="20"/>
              </w:rPr>
              <w:t>For</w:t>
            </w:r>
            <w:r>
              <w:rPr>
                <w:color w:val="000000" w:themeColor="text1"/>
                <w:sz w:val="20"/>
                <w:szCs w:val="20"/>
              </w:rPr>
              <w:t xml:space="preserve">’ concept and a preference was expressed for the second option, showing the circle with the </w:t>
            </w:r>
            <w:proofErr w:type="spellStart"/>
            <w:r>
              <w:rPr>
                <w:color w:val="000000" w:themeColor="text1"/>
                <w:sz w:val="20"/>
                <w:szCs w:val="20"/>
              </w:rPr>
              <w:t>Pipli</w:t>
            </w:r>
            <w:proofErr w:type="spellEnd"/>
            <w:r>
              <w:rPr>
                <w:color w:val="000000" w:themeColor="text1"/>
                <w:sz w:val="20"/>
                <w:szCs w:val="20"/>
              </w:rPr>
              <w:t xml:space="preserve"> motif. </w:t>
            </w:r>
          </w:p>
        </w:tc>
        <w:tc>
          <w:tcPr>
            <w:tcW w:w="1911" w:type="dxa"/>
            <w:tcBorders>
              <w:top w:val="single" w:sz="4" w:space="0" w:color="auto"/>
              <w:left w:val="single" w:sz="4" w:space="0" w:color="auto"/>
              <w:bottom w:val="single" w:sz="4" w:space="0" w:color="auto"/>
              <w:right w:val="single" w:sz="4" w:space="0" w:color="auto"/>
            </w:tcBorders>
            <w:hideMark/>
          </w:tcPr>
          <w:p w14:paraId="702D1378" w14:textId="77777777" w:rsidR="007366DC" w:rsidRDefault="007366DC" w:rsidP="008E4A19">
            <w:pPr>
              <w:spacing w:before="60" w:after="60"/>
              <w:jc w:val="both"/>
              <w:rPr>
                <w:sz w:val="20"/>
                <w:szCs w:val="20"/>
                <w:lang w:val="en-US"/>
              </w:rPr>
            </w:pPr>
            <w:r>
              <w:rPr>
                <w:sz w:val="20"/>
                <w:szCs w:val="20"/>
                <w:lang w:val="en-US"/>
              </w:rPr>
              <w:t>Lopez Design</w:t>
            </w:r>
          </w:p>
        </w:tc>
      </w:tr>
      <w:tr w:rsidR="007366DC" w14:paraId="02FCC894" w14:textId="77777777" w:rsidTr="008E4A19">
        <w:trPr>
          <w:cantSplit/>
        </w:trPr>
        <w:tc>
          <w:tcPr>
            <w:tcW w:w="562" w:type="dxa"/>
            <w:tcBorders>
              <w:top w:val="single" w:sz="4" w:space="0" w:color="auto"/>
              <w:left w:val="single" w:sz="4" w:space="0" w:color="auto"/>
              <w:bottom w:val="single" w:sz="4" w:space="0" w:color="auto"/>
              <w:right w:val="single" w:sz="4" w:space="0" w:color="auto"/>
            </w:tcBorders>
            <w:hideMark/>
          </w:tcPr>
          <w:p w14:paraId="11C3EFC7" w14:textId="77777777" w:rsidR="007366DC" w:rsidRDefault="007366DC" w:rsidP="008E4A19">
            <w:pPr>
              <w:spacing w:before="60" w:after="60"/>
              <w:jc w:val="both"/>
              <w:rPr>
                <w:sz w:val="20"/>
                <w:szCs w:val="20"/>
                <w:lang w:val="en-US"/>
              </w:rPr>
            </w:pPr>
            <w:r>
              <w:rPr>
                <w:sz w:val="20"/>
                <w:szCs w:val="20"/>
                <w:lang w:val="en-US"/>
              </w:rPr>
              <w:t>3.2</w:t>
            </w:r>
          </w:p>
        </w:tc>
        <w:tc>
          <w:tcPr>
            <w:tcW w:w="6543" w:type="dxa"/>
            <w:tcBorders>
              <w:top w:val="single" w:sz="4" w:space="0" w:color="auto"/>
              <w:left w:val="single" w:sz="4" w:space="0" w:color="auto"/>
              <w:bottom w:val="single" w:sz="4" w:space="0" w:color="auto"/>
              <w:right w:val="single" w:sz="4" w:space="0" w:color="auto"/>
            </w:tcBorders>
            <w:hideMark/>
          </w:tcPr>
          <w:p w14:paraId="24D2711F" w14:textId="77777777" w:rsidR="007366DC" w:rsidRDefault="007366DC" w:rsidP="008E4A19">
            <w:pPr>
              <w:spacing w:before="60" w:after="60"/>
              <w:jc w:val="both"/>
              <w:rPr>
                <w:rFonts w:cstheme="minorHAnsi"/>
                <w:color w:val="000000"/>
                <w:sz w:val="20"/>
                <w:szCs w:val="20"/>
              </w:rPr>
            </w:pPr>
            <w:r>
              <w:rPr>
                <w:rFonts w:cstheme="minorHAnsi"/>
                <w:color w:val="000000"/>
                <w:sz w:val="20"/>
                <w:szCs w:val="20"/>
              </w:rPr>
              <w:t>Taking account of the expressed preference, several reflections were shared for taking this concept forward:</w:t>
            </w:r>
          </w:p>
          <w:p w14:paraId="384A8535" w14:textId="77777777" w:rsidR="007366DC" w:rsidRDefault="007366DC" w:rsidP="008E4A19">
            <w:pPr>
              <w:pStyle w:val="ListParagraph"/>
              <w:numPr>
                <w:ilvl w:val="0"/>
                <w:numId w:val="36"/>
              </w:numPr>
              <w:spacing w:before="60" w:after="60"/>
              <w:jc w:val="both"/>
              <w:rPr>
                <w:rFonts w:cstheme="minorHAnsi"/>
                <w:color w:val="000000"/>
                <w:sz w:val="20"/>
                <w:szCs w:val="20"/>
              </w:rPr>
            </w:pPr>
            <w:r>
              <w:rPr>
                <w:rFonts w:cstheme="minorHAnsi"/>
                <w:color w:val="000000"/>
                <w:sz w:val="20"/>
                <w:szCs w:val="20"/>
              </w:rPr>
              <w:t>concept of ‘Wellbeing’ should also be included together with Health;</w:t>
            </w:r>
          </w:p>
          <w:p w14:paraId="1DE51F04" w14:textId="77777777" w:rsidR="007366DC" w:rsidRDefault="007366DC" w:rsidP="008E4A19">
            <w:pPr>
              <w:pStyle w:val="ListParagraph"/>
              <w:numPr>
                <w:ilvl w:val="0"/>
                <w:numId w:val="36"/>
              </w:numPr>
              <w:spacing w:before="60" w:after="60"/>
              <w:jc w:val="both"/>
              <w:rPr>
                <w:rFonts w:cstheme="minorHAnsi"/>
                <w:color w:val="000000"/>
                <w:sz w:val="20"/>
                <w:szCs w:val="20"/>
              </w:rPr>
            </w:pPr>
            <w:r>
              <w:rPr>
                <w:rFonts w:cstheme="minorHAnsi"/>
                <w:color w:val="000000"/>
                <w:sz w:val="20"/>
                <w:szCs w:val="20"/>
              </w:rPr>
              <w:t>important not to stereotype women as caregivers and mothers, but to ensure that the branding expresses the breadth of women’s roles and ambitions;</w:t>
            </w:r>
          </w:p>
          <w:p w14:paraId="79E3B158" w14:textId="77777777" w:rsidR="007366DC" w:rsidRDefault="007366DC" w:rsidP="008E4A19">
            <w:pPr>
              <w:pStyle w:val="ListParagraph"/>
              <w:numPr>
                <w:ilvl w:val="0"/>
                <w:numId w:val="36"/>
              </w:numPr>
              <w:spacing w:before="60" w:after="60"/>
              <w:jc w:val="both"/>
              <w:rPr>
                <w:color w:val="000000"/>
                <w:sz w:val="20"/>
                <w:szCs w:val="20"/>
              </w:rPr>
            </w:pPr>
            <w:r>
              <w:rPr>
                <w:color w:val="000000" w:themeColor="text1"/>
                <w:sz w:val="20"/>
                <w:szCs w:val="20"/>
              </w:rPr>
              <w:t>logo should not give the impression that the woman depicted is the mother of all three children, and important to reflect men as fathers and partners;</w:t>
            </w:r>
          </w:p>
          <w:p w14:paraId="2F177574" w14:textId="77777777" w:rsidR="007366DC" w:rsidRDefault="007366DC" w:rsidP="008E4A19">
            <w:pPr>
              <w:pStyle w:val="ListParagraph"/>
              <w:numPr>
                <w:ilvl w:val="0"/>
                <w:numId w:val="36"/>
              </w:numPr>
              <w:spacing w:before="60" w:after="60"/>
              <w:jc w:val="both"/>
              <w:rPr>
                <w:rFonts w:cstheme="minorHAnsi"/>
                <w:color w:val="000000"/>
                <w:sz w:val="20"/>
                <w:szCs w:val="20"/>
              </w:rPr>
            </w:pPr>
            <w:r>
              <w:rPr>
                <w:rFonts w:cstheme="minorHAnsi"/>
                <w:color w:val="000000"/>
                <w:sz w:val="20"/>
                <w:szCs w:val="20"/>
              </w:rPr>
              <w:t>whilst it is important to use colours reflective of the SDGs, the colour purple has been an integral part of PMNCH’s identity over the last 15 years and so it would be important to consider its prominent inclusion going forward; and</w:t>
            </w:r>
          </w:p>
          <w:p w14:paraId="3201BFFA" w14:textId="77777777" w:rsidR="007366DC" w:rsidRDefault="007366DC" w:rsidP="008E4A19">
            <w:pPr>
              <w:pStyle w:val="ListParagraph"/>
              <w:numPr>
                <w:ilvl w:val="0"/>
                <w:numId w:val="36"/>
              </w:numPr>
              <w:spacing w:before="60" w:after="60"/>
              <w:jc w:val="both"/>
              <w:rPr>
                <w:color w:val="000000"/>
                <w:sz w:val="20"/>
                <w:szCs w:val="20"/>
              </w:rPr>
            </w:pPr>
            <w:r>
              <w:rPr>
                <w:color w:val="000000" w:themeColor="text1"/>
                <w:sz w:val="20"/>
                <w:szCs w:val="20"/>
              </w:rPr>
              <w:t>any future animated figures should depict the characteristics of the full breadth and diversity of the world’s population and regions.</w:t>
            </w:r>
          </w:p>
        </w:tc>
        <w:tc>
          <w:tcPr>
            <w:tcW w:w="1911" w:type="dxa"/>
            <w:tcBorders>
              <w:top w:val="single" w:sz="4" w:space="0" w:color="auto"/>
              <w:left w:val="single" w:sz="4" w:space="0" w:color="auto"/>
              <w:bottom w:val="single" w:sz="4" w:space="0" w:color="auto"/>
              <w:right w:val="single" w:sz="4" w:space="0" w:color="auto"/>
            </w:tcBorders>
            <w:hideMark/>
          </w:tcPr>
          <w:p w14:paraId="082EB5B0" w14:textId="77777777" w:rsidR="007366DC" w:rsidRDefault="007366DC" w:rsidP="008E4A19">
            <w:pPr>
              <w:spacing w:before="60" w:after="60"/>
              <w:jc w:val="both"/>
              <w:rPr>
                <w:sz w:val="20"/>
                <w:szCs w:val="20"/>
                <w:lang w:val="en-US"/>
              </w:rPr>
            </w:pPr>
            <w:r>
              <w:rPr>
                <w:sz w:val="20"/>
                <w:szCs w:val="20"/>
                <w:lang w:val="en-US"/>
              </w:rPr>
              <w:t>Lopez Design</w:t>
            </w:r>
          </w:p>
        </w:tc>
      </w:tr>
      <w:tr w:rsidR="007366DC" w14:paraId="68A1EB3B" w14:textId="77777777" w:rsidTr="008E4A19">
        <w:trPr>
          <w:cantSplit/>
        </w:trPr>
        <w:tc>
          <w:tcPr>
            <w:tcW w:w="562" w:type="dxa"/>
            <w:tcBorders>
              <w:top w:val="single" w:sz="4" w:space="0" w:color="auto"/>
              <w:left w:val="single" w:sz="4" w:space="0" w:color="auto"/>
              <w:bottom w:val="single" w:sz="4" w:space="0" w:color="auto"/>
              <w:right w:val="single" w:sz="4" w:space="0" w:color="auto"/>
            </w:tcBorders>
            <w:hideMark/>
          </w:tcPr>
          <w:p w14:paraId="36A78C9D" w14:textId="77777777" w:rsidR="007366DC" w:rsidRDefault="007366DC" w:rsidP="008E4A19">
            <w:pPr>
              <w:spacing w:before="60" w:after="60"/>
              <w:jc w:val="both"/>
              <w:rPr>
                <w:sz w:val="20"/>
                <w:szCs w:val="20"/>
                <w:lang w:val="en-US"/>
              </w:rPr>
            </w:pPr>
            <w:r>
              <w:rPr>
                <w:sz w:val="20"/>
                <w:szCs w:val="20"/>
                <w:lang w:val="en-US"/>
              </w:rPr>
              <w:lastRenderedPageBreak/>
              <w:t>3.3</w:t>
            </w:r>
          </w:p>
        </w:tc>
        <w:tc>
          <w:tcPr>
            <w:tcW w:w="6543" w:type="dxa"/>
            <w:tcBorders>
              <w:top w:val="single" w:sz="4" w:space="0" w:color="auto"/>
              <w:left w:val="single" w:sz="4" w:space="0" w:color="auto"/>
              <w:bottom w:val="single" w:sz="4" w:space="0" w:color="auto"/>
              <w:right w:val="single" w:sz="4" w:space="0" w:color="auto"/>
            </w:tcBorders>
            <w:hideMark/>
          </w:tcPr>
          <w:p w14:paraId="54CA3B61" w14:textId="77777777" w:rsidR="007366DC" w:rsidRDefault="007366DC" w:rsidP="008E4A19">
            <w:pPr>
              <w:spacing w:before="60" w:after="60"/>
              <w:jc w:val="both"/>
              <w:rPr>
                <w:rFonts w:cstheme="minorHAnsi"/>
                <w:color w:val="000000"/>
                <w:sz w:val="20"/>
                <w:szCs w:val="20"/>
              </w:rPr>
            </w:pPr>
            <w:r>
              <w:rPr>
                <w:rFonts w:cstheme="minorHAnsi"/>
                <w:color w:val="000000"/>
                <w:sz w:val="20"/>
                <w:szCs w:val="20"/>
              </w:rPr>
              <w:t>Any additional comments on the rebranding options can be submitted to the Secretariat by the close of business on Friday 27 November 2020.</w:t>
            </w:r>
          </w:p>
        </w:tc>
        <w:tc>
          <w:tcPr>
            <w:tcW w:w="1911" w:type="dxa"/>
            <w:tcBorders>
              <w:top w:val="single" w:sz="4" w:space="0" w:color="auto"/>
              <w:left w:val="single" w:sz="4" w:space="0" w:color="auto"/>
              <w:bottom w:val="single" w:sz="4" w:space="0" w:color="auto"/>
              <w:right w:val="single" w:sz="4" w:space="0" w:color="auto"/>
            </w:tcBorders>
            <w:hideMark/>
          </w:tcPr>
          <w:p w14:paraId="6D54C8A2" w14:textId="77777777" w:rsidR="007366DC" w:rsidRDefault="007366DC" w:rsidP="008E4A19">
            <w:pPr>
              <w:spacing w:before="60" w:after="60"/>
              <w:jc w:val="both"/>
              <w:rPr>
                <w:sz w:val="20"/>
                <w:szCs w:val="20"/>
                <w:lang w:val="en-US"/>
              </w:rPr>
            </w:pPr>
            <w:r>
              <w:rPr>
                <w:sz w:val="20"/>
                <w:szCs w:val="20"/>
                <w:lang w:val="en-US"/>
              </w:rPr>
              <w:t>EC members</w:t>
            </w:r>
          </w:p>
        </w:tc>
      </w:tr>
      <w:tr w:rsidR="007366DC" w14:paraId="43F938BD" w14:textId="77777777" w:rsidTr="008E4A19">
        <w:trPr>
          <w:cantSplit/>
        </w:trPr>
        <w:tc>
          <w:tcPr>
            <w:tcW w:w="562" w:type="dxa"/>
            <w:tcBorders>
              <w:top w:val="single" w:sz="4" w:space="0" w:color="auto"/>
              <w:left w:val="single" w:sz="4" w:space="0" w:color="auto"/>
              <w:bottom w:val="single" w:sz="4" w:space="0" w:color="auto"/>
              <w:right w:val="single" w:sz="4" w:space="0" w:color="auto"/>
            </w:tcBorders>
          </w:tcPr>
          <w:p w14:paraId="26CA245B" w14:textId="50F2248A" w:rsidR="007366DC" w:rsidRDefault="007366DC" w:rsidP="008E4A19">
            <w:pPr>
              <w:spacing w:before="60" w:after="60"/>
              <w:jc w:val="both"/>
              <w:rPr>
                <w:sz w:val="20"/>
                <w:szCs w:val="20"/>
                <w:lang w:val="en-US"/>
              </w:rPr>
            </w:pPr>
            <w:r>
              <w:rPr>
                <w:sz w:val="20"/>
                <w:szCs w:val="20"/>
                <w:lang w:val="en-US"/>
              </w:rPr>
              <w:t>3.4</w:t>
            </w:r>
          </w:p>
        </w:tc>
        <w:tc>
          <w:tcPr>
            <w:tcW w:w="6543" w:type="dxa"/>
            <w:tcBorders>
              <w:top w:val="single" w:sz="4" w:space="0" w:color="auto"/>
              <w:left w:val="single" w:sz="4" w:space="0" w:color="auto"/>
              <w:bottom w:val="single" w:sz="4" w:space="0" w:color="auto"/>
              <w:right w:val="single" w:sz="4" w:space="0" w:color="auto"/>
            </w:tcBorders>
            <w:hideMark/>
          </w:tcPr>
          <w:p w14:paraId="33E17C71" w14:textId="77777777" w:rsidR="007366DC" w:rsidRDefault="007366DC" w:rsidP="008E4A19">
            <w:pPr>
              <w:spacing w:before="60" w:after="60"/>
              <w:jc w:val="both"/>
              <w:rPr>
                <w:rFonts w:cstheme="minorHAnsi"/>
                <w:color w:val="000000"/>
                <w:sz w:val="20"/>
                <w:szCs w:val="20"/>
              </w:rPr>
            </w:pPr>
            <w:r>
              <w:rPr>
                <w:rFonts w:cstheme="minorHAnsi"/>
                <w:color w:val="000000"/>
                <w:sz w:val="20"/>
                <w:szCs w:val="20"/>
              </w:rPr>
              <w:t>The presented branding direction, which has received clear support at EC, will now be applied to the emerging PMNCH digital platform for the consideration of the Board at its meeting on 14 and 15 December 2020.</w:t>
            </w:r>
          </w:p>
        </w:tc>
        <w:tc>
          <w:tcPr>
            <w:tcW w:w="1911" w:type="dxa"/>
            <w:tcBorders>
              <w:top w:val="single" w:sz="4" w:space="0" w:color="auto"/>
              <w:left w:val="single" w:sz="4" w:space="0" w:color="auto"/>
              <w:bottom w:val="single" w:sz="4" w:space="0" w:color="auto"/>
              <w:right w:val="single" w:sz="4" w:space="0" w:color="auto"/>
            </w:tcBorders>
            <w:hideMark/>
          </w:tcPr>
          <w:p w14:paraId="6C6FDC88" w14:textId="77777777" w:rsidR="007366DC" w:rsidRPr="00106992" w:rsidRDefault="007366DC" w:rsidP="003958DE">
            <w:pPr>
              <w:pStyle w:val="ListParagraph"/>
              <w:numPr>
                <w:ilvl w:val="0"/>
                <w:numId w:val="37"/>
              </w:numPr>
              <w:ind w:left="210" w:hanging="240"/>
              <w:rPr>
                <w:sz w:val="20"/>
                <w:szCs w:val="20"/>
              </w:rPr>
            </w:pPr>
            <w:r w:rsidRPr="003958DE">
              <w:rPr>
                <w:sz w:val="20"/>
                <w:szCs w:val="20"/>
              </w:rPr>
              <w:t>Secretariat</w:t>
            </w:r>
          </w:p>
          <w:p w14:paraId="1A6C3350" w14:textId="77777777" w:rsidR="007366DC" w:rsidRPr="00106992" w:rsidRDefault="007366DC" w:rsidP="003958DE">
            <w:pPr>
              <w:pStyle w:val="ListParagraph"/>
              <w:numPr>
                <w:ilvl w:val="0"/>
                <w:numId w:val="37"/>
              </w:numPr>
              <w:ind w:left="210" w:hanging="240"/>
              <w:rPr>
                <w:sz w:val="20"/>
                <w:szCs w:val="20"/>
              </w:rPr>
            </w:pPr>
            <w:r w:rsidRPr="003958DE">
              <w:rPr>
                <w:sz w:val="20"/>
                <w:szCs w:val="20"/>
              </w:rPr>
              <w:t>Lopez Design</w:t>
            </w:r>
          </w:p>
        </w:tc>
      </w:tr>
    </w:tbl>
    <w:p w14:paraId="0CBAD182" w14:textId="44E02CF1" w:rsidR="00BD3DAA" w:rsidRDefault="00185299" w:rsidP="00BD3DAA">
      <w:pPr>
        <w:pStyle w:val="ListParagraph"/>
        <w:numPr>
          <w:ilvl w:val="0"/>
          <w:numId w:val="26"/>
        </w:numPr>
        <w:spacing w:before="360" w:after="360" w:line="240" w:lineRule="auto"/>
        <w:jc w:val="both"/>
        <w:rPr>
          <w:b/>
          <w:color w:val="7030A0"/>
          <w:lang w:val="en-US"/>
        </w:rPr>
      </w:pPr>
      <w:r w:rsidRPr="00185299">
        <w:rPr>
          <w:b/>
          <w:color w:val="7030A0"/>
          <w:lang w:val="en-US"/>
        </w:rPr>
        <w:t>24-month Call to Action campaign plan</w:t>
      </w:r>
    </w:p>
    <w:p w14:paraId="76042511" w14:textId="77777777" w:rsidR="00BD3DAA" w:rsidRDefault="00BD3DAA" w:rsidP="00BD3DAA">
      <w:pPr>
        <w:jc w:val="both"/>
        <w:rPr>
          <w:b/>
          <w:u w:val="single"/>
        </w:rPr>
      </w:pPr>
      <w:bookmarkStart w:id="2" w:name="_Hlk20899724"/>
      <w:r>
        <w:rPr>
          <w:b/>
          <w:u w:val="single"/>
        </w:rPr>
        <w:t>Presentation</w:t>
      </w:r>
    </w:p>
    <w:p w14:paraId="180EE9E6" w14:textId="406B8686" w:rsidR="00BD3DAA" w:rsidRDefault="007C0F46" w:rsidP="00BD3DAA">
      <w:pPr>
        <w:jc w:val="both"/>
      </w:pPr>
      <w:r>
        <w:t>Desmond Nji</w:t>
      </w:r>
      <w:r w:rsidR="00BC1BBF">
        <w:t xml:space="preserve">, </w:t>
      </w:r>
      <w:r w:rsidR="00156005" w:rsidRPr="00156005">
        <w:t>Kristy Kade</w:t>
      </w:r>
      <w:r w:rsidR="00BC1BBF">
        <w:t xml:space="preserve"> and Lars </w:t>
      </w:r>
      <w:r w:rsidR="00BC1BBF" w:rsidRPr="00BC1BBF">
        <w:t>Grønseth</w:t>
      </w:r>
      <w:r w:rsidR="00BD3DAA">
        <w:t xml:space="preserve">, </w:t>
      </w:r>
      <w:r w:rsidR="00156005">
        <w:t>Co-Chair</w:t>
      </w:r>
      <w:r>
        <w:t>s</w:t>
      </w:r>
      <w:r w:rsidR="00156005">
        <w:t xml:space="preserve"> of the </w:t>
      </w:r>
      <w:r w:rsidR="007463B9" w:rsidRPr="007463B9">
        <w:t xml:space="preserve">PMNCH Advocacy </w:t>
      </w:r>
      <w:r w:rsidR="007463B9">
        <w:t xml:space="preserve">Working Group presented the </w:t>
      </w:r>
      <w:r w:rsidR="007463B9" w:rsidRPr="007463B9">
        <w:t>24-month Call to Action campaign plan</w:t>
      </w:r>
      <w:r w:rsidR="007463B9">
        <w:t>.</w:t>
      </w:r>
    </w:p>
    <w:bookmarkEnd w:id="2"/>
    <w:p w14:paraId="0F2FE59D" w14:textId="77777777" w:rsidR="00BD3DAA" w:rsidRDefault="00BD3DAA" w:rsidP="00BD3DAA">
      <w:pPr>
        <w:rPr>
          <w:b/>
          <w:u w:val="single"/>
        </w:rPr>
      </w:pPr>
      <w:r>
        <w:rPr>
          <w:b/>
          <w:u w:val="single"/>
        </w:rPr>
        <w:t>Discussion</w:t>
      </w:r>
    </w:p>
    <w:p w14:paraId="65EA85E4" w14:textId="164B2860" w:rsidR="00C713E2" w:rsidRPr="008E02A6" w:rsidRDefault="00432469" w:rsidP="008E02A6">
      <w:pPr>
        <w:pStyle w:val="ListParagraph"/>
        <w:numPr>
          <w:ilvl w:val="0"/>
          <w:numId w:val="27"/>
        </w:numPr>
        <w:spacing w:before="120" w:after="120" w:line="257" w:lineRule="auto"/>
        <w:contextualSpacing w:val="0"/>
        <w:jc w:val="both"/>
        <w:rPr>
          <w:rFonts w:cstheme="minorHAnsi"/>
          <w:bCs/>
        </w:rPr>
      </w:pPr>
      <w:r>
        <w:rPr>
          <w:rFonts w:cstheme="minorHAnsi"/>
          <w:bCs/>
        </w:rPr>
        <w:t xml:space="preserve">Gratitude was expressed </w:t>
      </w:r>
      <w:r w:rsidR="008E02A6" w:rsidRPr="008E02A6">
        <w:rPr>
          <w:rFonts w:cstheme="minorHAnsi"/>
          <w:bCs/>
        </w:rPr>
        <w:t xml:space="preserve">to all </w:t>
      </w:r>
      <w:r>
        <w:rPr>
          <w:rFonts w:cstheme="minorHAnsi"/>
          <w:bCs/>
        </w:rPr>
        <w:t xml:space="preserve">those </w:t>
      </w:r>
      <w:r w:rsidR="008E02A6" w:rsidRPr="008E02A6">
        <w:rPr>
          <w:rFonts w:cstheme="minorHAnsi"/>
          <w:bCs/>
        </w:rPr>
        <w:t xml:space="preserve">involved in the development of </w:t>
      </w:r>
      <w:r>
        <w:rPr>
          <w:rFonts w:cstheme="minorHAnsi"/>
          <w:bCs/>
        </w:rPr>
        <w:t>the</w:t>
      </w:r>
      <w:r w:rsidR="0082295A">
        <w:rPr>
          <w:rFonts w:cstheme="minorHAnsi"/>
          <w:bCs/>
        </w:rPr>
        <w:t xml:space="preserve"> </w:t>
      </w:r>
      <w:r w:rsidR="0082295A" w:rsidRPr="0082295A">
        <w:rPr>
          <w:rFonts w:cstheme="minorHAnsi"/>
          <w:bCs/>
        </w:rPr>
        <w:t xml:space="preserve">24-month Call to Action campaign </w:t>
      </w:r>
      <w:r w:rsidR="008E02A6" w:rsidRPr="008E02A6">
        <w:rPr>
          <w:rFonts w:cstheme="minorHAnsi"/>
          <w:bCs/>
        </w:rPr>
        <w:t>plan</w:t>
      </w:r>
      <w:r w:rsidR="006B6126">
        <w:rPr>
          <w:rFonts w:cstheme="minorHAnsi"/>
          <w:bCs/>
        </w:rPr>
        <w:t>.</w:t>
      </w:r>
    </w:p>
    <w:p w14:paraId="6A5BF847" w14:textId="1E4BF614" w:rsidR="002E4B31" w:rsidRPr="0082295A" w:rsidRDefault="002E4B31" w:rsidP="002E4B31">
      <w:pPr>
        <w:pStyle w:val="ListParagraph"/>
        <w:numPr>
          <w:ilvl w:val="0"/>
          <w:numId w:val="27"/>
        </w:numPr>
        <w:spacing w:before="120" w:after="120" w:line="257" w:lineRule="auto"/>
        <w:contextualSpacing w:val="0"/>
        <w:jc w:val="both"/>
        <w:rPr>
          <w:rFonts w:cstheme="minorHAnsi"/>
          <w:bCs/>
        </w:rPr>
      </w:pPr>
      <w:r>
        <w:rPr>
          <w:rFonts w:cstheme="minorHAnsi"/>
          <w:bCs/>
        </w:rPr>
        <w:t xml:space="preserve">In was noted that the plan presented a roadmap of what PMNCH was planning to focus on in the next two years, in terms of campaigning and outreach. </w:t>
      </w:r>
    </w:p>
    <w:p w14:paraId="0E3DA155" w14:textId="77777777" w:rsidR="0082295A" w:rsidRDefault="003C476F" w:rsidP="0082295A">
      <w:pPr>
        <w:pStyle w:val="ListParagraph"/>
        <w:numPr>
          <w:ilvl w:val="0"/>
          <w:numId w:val="27"/>
        </w:numPr>
        <w:spacing w:before="120" w:after="120" w:line="257" w:lineRule="auto"/>
        <w:contextualSpacing w:val="0"/>
        <w:jc w:val="both"/>
        <w:rPr>
          <w:rFonts w:cstheme="minorHAnsi"/>
          <w:bCs/>
        </w:rPr>
      </w:pPr>
      <w:r>
        <w:rPr>
          <w:rFonts w:cstheme="minorHAnsi"/>
          <w:bCs/>
        </w:rPr>
        <w:t xml:space="preserve">It was appreciated that the presented plan </w:t>
      </w:r>
      <w:r w:rsidR="0082295A">
        <w:rPr>
          <w:rFonts w:cstheme="minorHAnsi"/>
          <w:bCs/>
        </w:rPr>
        <w:t>focuses on</w:t>
      </w:r>
      <w:r>
        <w:rPr>
          <w:rFonts w:cstheme="minorHAnsi"/>
          <w:bCs/>
        </w:rPr>
        <w:t xml:space="preserve"> opportunities for greater </w:t>
      </w:r>
      <w:r w:rsidR="00B16BA4">
        <w:rPr>
          <w:rFonts w:cstheme="minorHAnsi"/>
          <w:bCs/>
        </w:rPr>
        <w:t>connect</w:t>
      </w:r>
      <w:r>
        <w:rPr>
          <w:rFonts w:cstheme="minorHAnsi"/>
          <w:bCs/>
        </w:rPr>
        <w:t xml:space="preserve">ivity in the </w:t>
      </w:r>
      <w:r w:rsidR="00B16BA4">
        <w:rPr>
          <w:rFonts w:cstheme="minorHAnsi"/>
          <w:bCs/>
        </w:rPr>
        <w:t>content</w:t>
      </w:r>
      <w:r>
        <w:rPr>
          <w:rFonts w:cstheme="minorHAnsi"/>
          <w:bCs/>
        </w:rPr>
        <w:t xml:space="preserve"> developed by PMNCH</w:t>
      </w:r>
      <w:r w:rsidR="001A3F25">
        <w:rPr>
          <w:rFonts w:cstheme="minorHAnsi"/>
          <w:bCs/>
        </w:rPr>
        <w:t xml:space="preserve">, </w:t>
      </w:r>
      <w:r>
        <w:rPr>
          <w:rFonts w:cstheme="minorHAnsi"/>
          <w:bCs/>
        </w:rPr>
        <w:t xml:space="preserve">and creates linkages </w:t>
      </w:r>
      <w:r w:rsidR="001A3F25">
        <w:rPr>
          <w:rFonts w:cstheme="minorHAnsi"/>
          <w:bCs/>
        </w:rPr>
        <w:t xml:space="preserve">with </w:t>
      </w:r>
      <w:r>
        <w:rPr>
          <w:rFonts w:cstheme="minorHAnsi"/>
          <w:bCs/>
        </w:rPr>
        <w:t xml:space="preserve">the other working groups, </w:t>
      </w:r>
      <w:r w:rsidR="0082295A">
        <w:rPr>
          <w:rFonts w:cstheme="minorHAnsi"/>
          <w:bCs/>
        </w:rPr>
        <w:t>committees and constituencies</w:t>
      </w:r>
      <w:r w:rsidR="001A3F25">
        <w:rPr>
          <w:rFonts w:cstheme="minorHAnsi"/>
          <w:bCs/>
        </w:rPr>
        <w:t>.</w:t>
      </w:r>
    </w:p>
    <w:p w14:paraId="46537CCF" w14:textId="004F1F28" w:rsidR="001A3F25" w:rsidRDefault="00327946" w:rsidP="0082295A">
      <w:pPr>
        <w:pStyle w:val="ListParagraph"/>
        <w:numPr>
          <w:ilvl w:val="0"/>
          <w:numId w:val="27"/>
        </w:numPr>
        <w:spacing w:before="120" w:after="120" w:line="257" w:lineRule="auto"/>
        <w:contextualSpacing w:val="0"/>
        <w:jc w:val="both"/>
        <w:rPr>
          <w:rFonts w:cstheme="minorHAnsi"/>
          <w:bCs/>
        </w:rPr>
      </w:pPr>
      <w:r>
        <w:rPr>
          <w:rFonts w:cstheme="minorHAnsi"/>
          <w:bCs/>
        </w:rPr>
        <w:t>Questions posed by the plan on h</w:t>
      </w:r>
      <w:r w:rsidR="001A3F25" w:rsidRPr="0082295A">
        <w:rPr>
          <w:rFonts w:cstheme="minorHAnsi"/>
          <w:bCs/>
        </w:rPr>
        <w:t xml:space="preserve">ow big issues </w:t>
      </w:r>
      <w:r>
        <w:rPr>
          <w:rFonts w:cstheme="minorHAnsi"/>
          <w:bCs/>
        </w:rPr>
        <w:t xml:space="preserve">are to be identified and </w:t>
      </w:r>
      <w:r w:rsidR="002E4B31">
        <w:rPr>
          <w:rFonts w:cstheme="minorHAnsi"/>
          <w:bCs/>
        </w:rPr>
        <w:t xml:space="preserve">the sphere of influence that PMNCH should focus on (global, regional, national, etc.) were important for further consideration. </w:t>
      </w:r>
    </w:p>
    <w:p w14:paraId="78634DA8" w14:textId="77777777" w:rsidR="009F7636" w:rsidRPr="00912443" w:rsidRDefault="009F7636" w:rsidP="009F7636">
      <w:pPr>
        <w:pStyle w:val="ListParagraph"/>
        <w:spacing w:before="120" w:after="120" w:line="257" w:lineRule="auto"/>
        <w:contextualSpacing w:val="0"/>
        <w:jc w:val="both"/>
        <w:rPr>
          <w:rFonts w:cstheme="minorHAnsi"/>
          <w:bCs/>
        </w:rPr>
      </w:pPr>
    </w:p>
    <w:tbl>
      <w:tblPr>
        <w:tblStyle w:val="TableGrid"/>
        <w:tblW w:w="0" w:type="auto"/>
        <w:tblLook w:val="04A0" w:firstRow="1" w:lastRow="0" w:firstColumn="1" w:lastColumn="0" w:noHBand="0" w:noVBand="1"/>
      </w:tblPr>
      <w:tblGrid>
        <w:gridCol w:w="562"/>
        <w:gridCol w:w="6543"/>
        <w:gridCol w:w="1911"/>
      </w:tblGrid>
      <w:tr w:rsidR="00432469" w14:paraId="29A1A47C" w14:textId="77777777" w:rsidTr="008E4A19">
        <w:trPr>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28175" w14:textId="77777777" w:rsidR="00432469" w:rsidRDefault="00432469" w:rsidP="008E4A19">
            <w:pPr>
              <w:spacing w:before="120" w:after="120"/>
              <w:jc w:val="both"/>
              <w:rPr>
                <w:b/>
                <w:sz w:val="20"/>
                <w:szCs w:val="20"/>
                <w:lang w:val="en-US"/>
              </w:rPr>
            </w:pPr>
          </w:p>
        </w:tc>
        <w:tc>
          <w:tcPr>
            <w:tcW w:w="6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AD0EAE" w14:textId="77777777" w:rsidR="00432469" w:rsidRDefault="00432469" w:rsidP="008E4A19">
            <w:pPr>
              <w:spacing w:before="120" w:after="120"/>
              <w:jc w:val="both"/>
              <w:rPr>
                <w:b/>
                <w:sz w:val="20"/>
                <w:szCs w:val="20"/>
                <w:lang w:val="en-US"/>
              </w:rPr>
            </w:pPr>
            <w:r>
              <w:rPr>
                <w:b/>
                <w:sz w:val="20"/>
                <w:szCs w:val="20"/>
                <w:lang w:val="en-US"/>
              </w:rPr>
              <w:t>Decision / Action</w:t>
            </w:r>
          </w:p>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18E8A3" w14:textId="77777777" w:rsidR="00432469" w:rsidRDefault="00432469" w:rsidP="008E4A19">
            <w:pPr>
              <w:spacing w:before="120" w:after="120"/>
              <w:jc w:val="both"/>
              <w:rPr>
                <w:b/>
                <w:sz w:val="20"/>
                <w:szCs w:val="20"/>
                <w:lang w:val="en-US"/>
              </w:rPr>
            </w:pPr>
            <w:r>
              <w:rPr>
                <w:b/>
                <w:sz w:val="20"/>
                <w:szCs w:val="20"/>
                <w:lang w:val="en-US"/>
              </w:rPr>
              <w:t>Responsibility</w:t>
            </w:r>
          </w:p>
        </w:tc>
      </w:tr>
      <w:tr w:rsidR="00432469" w14:paraId="4185A6DD" w14:textId="77777777" w:rsidTr="008E4A19">
        <w:trPr>
          <w:cantSplit/>
        </w:trPr>
        <w:tc>
          <w:tcPr>
            <w:tcW w:w="562" w:type="dxa"/>
            <w:tcBorders>
              <w:top w:val="single" w:sz="4" w:space="0" w:color="auto"/>
              <w:left w:val="single" w:sz="4" w:space="0" w:color="auto"/>
              <w:bottom w:val="single" w:sz="4" w:space="0" w:color="auto"/>
              <w:right w:val="single" w:sz="4" w:space="0" w:color="auto"/>
            </w:tcBorders>
            <w:hideMark/>
          </w:tcPr>
          <w:p w14:paraId="392FF8D9" w14:textId="77777777" w:rsidR="00432469" w:rsidRDefault="00432469" w:rsidP="008E4A19">
            <w:pPr>
              <w:spacing w:before="60" w:after="60"/>
              <w:jc w:val="both"/>
              <w:rPr>
                <w:sz w:val="20"/>
                <w:szCs w:val="20"/>
                <w:lang w:val="en-US"/>
              </w:rPr>
            </w:pPr>
            <w:r>
              <w:rPr>
                <w:sz w:val="20"/>
                <w:szCs w:val="20"/>
                <w:lang w:val="en-US"/>
              </w:rPr>
              <w:t>4.1</w:t>
            </w:r>
          </w:p>
        </w:tc>
        <w:tc>
          <w:tcPr>
            <w:tcW w:w="6543" w:type="dxa"/>
            <w:tcBorders>
              <w:top w:val="single" w:sz="4" w:space="0" w:color="auto"/>
              <w:left w:val="single" w:sz="4" w:space="0" w:color="auto"/>
              <w:bottom w:val="single" w:sz="4" w:space="0" w:color="auto"/>
              <w:right w:val="single" w:sz="4" w:space="0" w:color="auto"/>
            </w:tcBorders>
            <w:hideMark/>
          </w:tcPr>
          <w:p w14:paraId="006A6178" w14:textId="77777777" w:rsidR="00432469" w:rsidRDefault="00432469" w:rsidP="008E4A19">
            <w:pPr>
              <w:spacing w:before="60" w:after="60"/>
              <w:jc w:val="both"/>
              <w:rPr>
                <w:sz w:val="20"/>
                <w:szCs w:val="20"/>
                <w:lang w:val="en-US"/>
              </w:rPr>
            </w:pPr>
            <w:r>
              <w:rPr>
                <w:sz w:val="20"/>
                <w:szCs w:val="20"/>
                <w:lang w:val="en-US"/>
              </w:rPr>
              <w:t>Agree that work on defining the 24-month campaign should continue, for discussion at the forthcoming Board meeting.</w:t>
            </w:r>
          </w:p>
        </w:tc>
        <w:tc>
          <w:tcPr>
            <w:tcW w:w="1911" w:type="dxa"/>
            <w:tcBorders>
              <w:top w:val="single" w:sz="4" w:space="0" w:color="auto"/>
              <w:left w:val="single" w:sz="4" w:space="0" w:color="auto"/>
              <w:bottom w:val="single" w:sz="4" w:space="0" w:color="auto"/>
              <w:right w:val="single" w:sz="4" w:space="0" w:color="auto"/>
            </w:tcBorders>
            <w:hideMark/>
          </w:tcPr>
          <w:p w14:paraId="0C29FAC2" w14:textId="77777777" w:rsidR="00432469" w:rsidRDefault="00432469" w:rsidP="008E4A19">
            <w:pPr>
              <w:spacing w:before="60" w:after="60"/>
              <w:jc w:val="both"/>
              <w:rPr>
                <w:sz w:val="20"/>
                <w:szCs w:val="20"/>
                <w:lang w:val="en-US"/>
              </w:rPr>
            </w:pPr>
            <w:r>
              <w:rPr>
                <w:sz w:val="20"/>
                <w:szCs w:val="20"/>
                <w:lang w:val="en-US"/>
              </w:rPr>
              <w:t>Advocacy WG</w:t>
            </w:r>
          </w:p>
        </w:tc>
      </w:tr>
      <w:tr w:rsidR="00432469" w14:paraId="18DC07A3" w14:textId="77777777" w:rsidTr="008E4A19">
        <w:trPr>
          <w:cantSplit/>
        </w:trPr>
        <w:tc>
          <w:tcPr>
            <w:tcW w:w="562" w:type="dxa"/>
            <w:tcBorders>
              <w:top w:val="single" w:sz="4" w:space="0" w:color="auto"/>
              <w:left w:val="single" w:sz="4" w:space="0" w:color="auto"/>
              <w:bottom w:val="single" w:sz="4" w:space="0" w:color="auto"/>
              <w:right w:val="single" w:sz="4" w:space="0" w:color="auto"/>
            </w:tcBorders>
            <w:hideMark/>
          </w:tcPr>
          <w:p w14:paraId="3F5F4F14" w14:textId="77777777" w:rsidR="00432469" w:rsidRDefault="00432469" w:rsidP="008E4A19">
            <w:pPr>
              <w:spacing w:before="60" w:after="60"/>
              <w:jc w:val="both"/>
              <w:rPr>
                <w:sz w:val="20"/>
                <w:szCs w:val="20"/>
                <w:lang w:val="en-US"/>
              </w:rPr>
            </w:pPr>
            <w:r>
              <w:rPr>
                <w:sz w:val="20"/>
                <w:szCs w:val="20"/>
                <w:lang w:val="en-US"/>
              </w:rPr>
              <w:t>4.2</w:t>
            </w:r>
          </w:p>
        </w:tc>
        <w:tc>
          <w:tcPr>
            <w:tcW w:w="6543" w:type="dxa"/>
            <w:tcBorders>
              <w:top w:val="single" w:sz="4" w:space="0" w:color="auto"/>
              <w:left w:val="single" w:sz="4" w:space="0" w:color="auto"/>
              <w:bottom w:val="single" w:sz="4" w:space="0" w:color="auto"/>
              <w:right w:val="single" w:sz="4" w:space="0" w:color="auto"/>
            </w:tcBorders>
            <w:hideMark/>
          </w:tcPr>
          <w:p w14:paraId="46698BE1" w14:textId="5D91E758" w:rsidR="00432469" w:rsidRDefault="00432469" w:rsidP="008E4A19">
            <w:pPr>
              <w:spacing w:before="60" w:after="60"/>
              <w:jc w:val="both"/>
              <w:rPr>
                <w:sz w:val="20"/>
                <w:szCs w:val="20"/>
                <w:lang w:val="en-US"/>
              </w:rPr>
            </w:pPr>
            <w:r>
              <w:rPr>
                <w:sz w:val="20"/>
                <w:szCs w:val="20"/>
                <w:lang w:val="en-US"/>
              </w:rPr>
              <w:t>Useful to strengthen the framing of the campaign as it relates to:</w:t>
            </w:r>
          </w:p>
          <w:p w14:paraId="5A2819DE" w14:textId="21449660" w:rsidR="00432469" w:rsidRDefault="00432469" w:rsidP="008E4A19">
            <w:pPr>
              <w:pStyle w:val="ListParagraph"/>
              <w:numPr>
                <w:ilvl w:val="0"/>
                <w:numId w:val="36"/>
              </w:numPr>
              <w:spacing w:before="60" w:after="60"/>
              <w:jc w:val="both"/>
              <w:rPr>
                <w:sz w:val="20"/>
                <w:szCs w:val="20"/>
                <w:lang w:val="en-US"/>
              </w:rPr>
            </w:pPr>
            <w:r>
              <w:rPr>
                <w:sz w:val="20"/>
                <w:szCs w:val="20"/>
                <w:lang w:val="en-US"/>
              </w:rPr>
              <w:t>PMNCH’s overall Strategy and the role of the campaign within the Partnership’s workplan; and</w:t>
            </w:r>
          </w:p>
          <w:p w14:paraId="4F753F67" w14:textId="77777777" w:rsidR="00432469" w:rsidRDefault="00432469" w:rsidP="003958DE">
            <w:pPr>
              <w:pStyle w:val="ListParagraph"/>
              <w:numPr>
                <w:ilvl w:val="0"/>
                <w:numId w:val="36"/>
              </w:numPr>
              <w:spacing w:before="60" w:after="60"/>
              <w:jc w:val="both"/>
              <w:rPr>
                <w:sz w:val="20"/>
                <w:szCs w:val="20"/>
                <w:lang w:val="en-US"/>
              </w:rPr>
            </w:pPr>
            <w:r>
              <w:rPr>
                <w:sz w:val="20"/>
                <w:szCs w:val="20"/>
                <w:lang w:val="en-US"/>
              </w:rPr>
              <w:t>the context of the COVID-19 pandemic.</w:t>
            </w:r>
          </w:p>
        </w:tc>
        <w:tc>
          <w:tcPr>
            <w:tcW w:w="1911" w:type="dxa"/>
            <w:tcBorders>
              <w:top w:val="single" w:sz="4" w:space="0" w:color="auto"/>
              <w:left w:val="single" w:sz="4" w:space="0" w:color="auto"/>
              <w:bottom w:val="single" w:sz="4" w:space="0" w:color="auto"/>
              <w:right w:val="single" w:sz="4" w:space="0" w:color="auto"/>
            </w:tcBorders>
            <w:hideMark/>
          </w:tcPr>
          <w:p w14:paraId="600E1F84" w14:textId="77777777" w:rsidR="00432469" w:rsidRDefault="00432469" w:rsidP="008E4A19">
            <w:pPr>
              <w:spacing w:before="60" w:after="60"/>
              <w:jc w:val="both"/>
              <w:rPr>
                <w:sz w:val="20"/>
                <w:szCs w:val="20"/>
                <w:lang w:val="en-US"/>
              </w:rPr>
            </w:pPr>
            <w:r>
              <w:rPr>
                <w:sz w:val="20"/>
                <w:szCs w:val="20"/>
                <w:lang w:val="en-US"/>
              </w:rPr>
              <w:t>Advocacy WG</w:t>
            </w:r>
          </w:p>
        </w:tc>
      </w:tr>
      <w:tr w:rsidR="00432469" w14:paraId="6BAD606E" w14:textId="77777777" w:rsidTr="008E4A19">
        <w:trPr>
          <w:cantSplit/>
        </w:trPr>
        <w:tc>
          <w:tcPr>
            <w:tcW w:w="562" w:type="dxa"/>
            <w:tcBorders>
              <w:top w:val="single" w:sz="4" w:space="0" w:color="auto"/>
              <w:left w:val="single" w:sz="4" w:space="0" w:color="auto"/>
              <w:bottom w:val="single" w:sz="4" w:space="0" w:color="auto"/>
              <w:right w:val="single" w:sz="4" w:space="0" w:color="auto"/>
            </w:tcBorders>
            <w:hideMark/>
          </w:tcPr>
          <w:p w14:paraId="4C1DB548" w14:textId="77777777" w:rsidR="00432469" w:rsidRDefault="00432469" w:rsidP="008E4A19">
            <w:pPr>
              <w:spacing w:before="60" w:after="60"/>
              <w:jc w:val="both"/>
              <w:rPr>
                <w:sz w:val="20"/>
                <w:szCs w:val="20"/>
                <w:lang w:val="en-US"/>
              </w:rPr>
            </w:pPr>
            <w:r>
              <w:rPr>
                <w:sz w:val="20"/>
                <w:szCs w:val="20"/>
                <w:lang w:val="en-US"/>
              </w:rPr>
              <w:t>4.3</w:t>
            </w:r>
          </w:p>
        </w:tc>
        <w:tc>
          <w:tcPr>
            <w:tcW w:w="6543" w:type="dxa"/>
            <w:tcBorders>
              <w:top w:val="single" w:sz="4" w:space="0" w:color="auto"/>
              <w:left w:val="single" w:sz="4" w:space="0" w:color="auto"/>
              <w:bottom w:val="single" w:sz="4" w:space="0" w:color="auto"/>
              <w:right w:val="single" w:sz="4" w:space="0" w:color="auto"/>
            </w:tcBorders>
            <w:hideMark/>
          </w:tcPr>
          <w:p w14:paraId="2AC0666C" w14:textId="24E9D113" w:rsidR="00432469" w:rsidRDefault="00432469" w:rsidP="008E4A19">
            <w:pPr>
              <w:spacing w:before="60" w:after="60"/>
              <w:jc w:val="both"/>
              <w:rPr>
                <w:sz w:val="20"/>
                <w:szCs w:val="20"/>
                <w:lang w:val="en-US"/>
              </w:rPr>
            </w:pPr>
            <w:r>
              <w:rPr>
                <w:sz w:val="20"/>
                <w:szCs w:val="20"/>
                <w:lang w:val="en-US"/>
              </w:rPr>
              <w:t xml:space="preserve">Reflecting the discussions on the breadth and depth of country-focused activities, there was agreement that a broader approach ought to be considered. In this context, the EC advised to consult further with the Country Engagement Working Group, whilst noting the fact that each country context will be different and therefore engagement through this campaign should be tailored. </w:t>
            </w:r>
          </w:p>
        </w:tc>
        <w:tc>
          <w:tcPr>
            <w:tcW w:w="1911" w:type="dxa"/>
            <w:tcBorders>
              <w:top w:val="single" w:sz="4" w:space="0" w:color="auto"/>
              <w:left w:val="single" w:sz="4" w:space="0" w:color="auto"/>
              <w:bottom w:val="single" w:sz="4" w:space="0" w:color="auto"/>
              <w:right w:val="single" w:sz="4" w:space="0" w:color="auto"/>
            </w:tcBorders>
            <w:hideMark/>
          </w:tcPr>
          <w:p w14:paraId="3225F9DA" w14:textId="77777777" w:rsidR="00432469" w:rsidRDefault="00432469" w:rsidP="008E4A19">
            <w:pPr>
              <w:pStyle w:val="ListParagraph"/>
              <w:numPr>
                <w:ilvl w:val="0"/>
                <w:numId w:val="37"/>
              </w:numPr>
              <w:ind w:left="210" w:hanging="240"/>
              <w:rPr>
                <w:sz w:val="20"/>
                <w:szCs w:val="20"/>
                <w:lang w:val="en-US"/>
              </w:rPr>
            </w:pPr>
            <w:r>
              <w:rPr>
                <w:sz w:val="20"/>
                <w:szCs w:val="20"/>
              </w:rPr>
              <w:t>Advocacy</w:t>
            </w:r>
            <w:r>
              <w:rPr>
                <w:sz w:val="20"/>
                <w:szCs w:val="20"/>
                <w:lang w:val="en-US"/>
              </w:rPr>
              <w:t xml:space="preserve"> WG</w:t>
            </w:r>
          </w:p>
          <w:p w14:paraId="75EEF802" w14:textId="77777777" w:rsidR="00432469" w:rsidRDefault="00432469" w:rsidP="008E4A19">
            <w:pPr>
              <w:pStyle w:val="ListParagraph"/>
              <w:numPr>
                <w:ilvl w:val="0"/>
                <w:numId w:val="37"/>
              </w:numPr>
              <w:ind w:left="210" w:hanging="240"/>
              <w:rPr>
                <w:sz w:val="20"/>
                <w:szCs w:val="20"/>
                <w:lang w:val="en-US"/>
              </w:rPr>
            </w:pPr>
            <w:r>
              <w:rPr>
                <w:sz w:val="20"/>
                <w:szCs w:val="20"/>
                <w:lang w:val="en-US"/>
              </w:rPr>
              <w:t>Country engagement WG</w:t>
            </w:r>
          </w:p>
        </w:tc>
      </w:tr>
      <w:tr w:rsidR="00432469" w14:paraId="152296E8" w14:textId="77777777" w:rsidTr="008E4A19">
        <w:trPr>
          <w:cantSplit/>
        </w:trPr>
        <w:tc>
          <w:tcPr>
            <w:tcW w:w="562" w:type="dxa"/>
            <w:tcBorders>
              <w:top w:val="single" w:sz="4" w:space="0" w:color="auto"/>
              <w:left w:val="single" w:sz="4" w:space="0" w:color="auto"/>
              <w:bottom w:val="single" w:sz="4" w:space="0" w:color="auto"/>
              <w:right w:val="single" w:sz="4" w:space="0" w:color="auto"/>
            </w:tcBorders>
            <w:hideMark/>
          </w:tcPr>
          <w:p w14:paraId="755957F7" w14:textId="77777777" w:rsidR="00432469" w:rsidRDefault="00432469" w:rsidP="008E4A19">
            <w:pPr>
              <w:spacing w:before="60" w:after="60"/>
              <w:jc w:val="both"/>
              <w:rPr>
                <w:sz w:val="20"/>
                <w:szCs w:val="20"/>
                <w:lang w:val="en-US"/>
              </w:rPr>
            </w:pPr>
            <w:r>
              <w:rPr>
                <w:sz w:val="20"/>
                <w:szCs w:val="20"/>
                <w:lang w:val="en-US"/>
              </w:rPr>
              <w:lastRenderedPageBreak/>
              <w:t>4.4</w:t>
            </w:r>
          </w:p>
        </w:tc>
        <w:tc>
          <w:tcPr>
            <w:tcW w:w="6543" w:type="dxa"/>
            <w:tcBorders>
              <w:top w:val="single" w:sz="4" w:space="0" w:color="auto"/>
              <w:left w:val="single" w:sz="4" w:space="0" w:color="auto"/>
              <w:bottom w:val="single" w:sz="4" w:space="0" w:color="auto"/>
              <w:right w:val="single" w:sz="4" w:space="0" w:color="auto"/>
            </w:tcBorders>
            <w:hideMark/>
          </w:tcPr>
          <w:p w14:paraId="7F90903E" w14:textId="77777777" w:rsidR="00432469" w:rsidRDefault="00432469" w:rsidP="008E4A19">
            <w:pPr>
              <w:spacing w:before="60" w:after="60"/>
              <w:jc w:val="both"/>
              <w:rPr>
                <w:sz w:val="20"/>
                <w:szCs w:val="20"/>
                <w:lang w:val="en-US"/>
              </w:rPr>
            </w:pPr>
            <w:r>
              <w:rPr>
                <w:sz w:val="20"/>
                <w:szCs w:val="20"/>
                <w:lang w:val="en-US"/>
              </w:rPr>
              <w:t>With regards to the proposed outcomes (presentation, slide 5), and in particular as related to the global and regional bodies that are to be targeted, there was a suggestion to consider whether the Global Fund is a practical target at this point, or whether the campaign should in fact focus more on other institutions, such as GFF and/ or GAVI.</w:t>
            </w:r>
          </w:p>
        </w:tc>
        <w:tc>
          <w:tcPr>
            <w:tcW w:w="1911" w:type="dxa"/>
            <w:tcBorders>
              <w:top w:val="single" w:sz="4" w:space="0" w:color="auto"/>
              <w:left w:val="single" w:sz="4" w:space="0" w:color="auto"/>
              <w:bottom w:val="single" w:sz="4" w:space="0" w:color="auto"/>
              <w:right w:val="single" w:sz="4" w:space="0" w:color="auto"/>
            </w:tcBorders>
            <w:hideMark/>
          </w:tcPr>
          <w:p w14:paraId="67FAA1EB" w14:textId="77777777" w:rsidR="00432469" w:rsidRDefault="00432469" w:rsidP="008E4A19">
            <w:pPr>
              <w:pStyle w:val="ListParagraph"/>
              <w:numPr>
                <w:ilvl w:val="0"/>
                <w:numId w:val="37"/>
              </w:numPr>
              <w:ind w:left="210" w:hanging="240"/>
              <w:rPr>
                <w:sz w:val="20"/>
                <w:szCs w:val="20"/>
              </w:rPr>
            </w:pPr>
            <w:r>
              <w:rPr>
                <w:sz w:val="20"/>
                <w:szCs w:val="20"/>
              </w:rPr>
              <w:t>Advocacy WG</w:t>
            </w:r>
          </w:p>
        </w:tc>
      </w:tr>
      <w:tr w:rsidR="00432469" w14:paraId="6A1A0008" w14:textId="77777777" w:rsidTr="008E4A19">
        <w:trPr>
          <w:cantSplit/>
        </w:trPr>
        <w:tc>
          <w:tcPr>
            <w:tcW w:w="562" w:type="dxa"/>
            <w:tcBorders>
              <w:top w:val="single" w:sz="4" w:space="0" w:color="auto"/>
              <w:left w:val="single" w:sz="4" w:space="0" w:color="auto"/>
              <w:bottom w:val="single" w:sz="4" w:space="0" w:color="auto"/>
              <w:right w:val="single" w:sz="4" w:space="0" w:color="auto"/>
            </w:tcBorders>
            <w:hideMark/>
          </w:tcPr>
          <w:p w14:paraId="6B03F049" w14:textId="39069C72" w:rsidR="00432469" w:rsidRDefault="00432469" w:rsidP="008E4A19">
            <w:pPr>
              <w:spacing w:before="60" w:after="60"/>
              <w:jc w:val="both"/>
              <w:rPr>
                <w:sz w:val="20"/>
                <w:szCs w:val="20"/>
                <w:lang w:val="en-US"/>
              </w:rPr>
            </w:pPr>
            <w:r>
              <w:rPr>
                <w:sz w:val="20"/>
                <w:szCs w:val="20"/>
                <w:lang w:val="en-US"/>
              </w:rPr>
              <w:t>4.5</w:t>
            </w:r>
          </w:p>
        </w:tc>
        <w:tc>
          <w:tcPr>
            <w:tcW w:w="6543" w:type="dxa"/>
            <w:tcBorders>
              <w:top w:val="single" w:sz="4" w:space="0" w:color="auto"/>
              <w:left w:val="single" w:sz="4" w:space="0" w:color="auto"/>
              <w:bottom w:val="single" w:sz="4" w:space="0" w:color="auto"/>
              <w:right w:val="single" w:sz="4" w:space="0" w:color="auto"/>
            </w:tcBorders>
            <w:hideMark/>
          </w:tcPr>
          <w:p w14:paraId="11260E98" w14:textId="77777777" w:rsidR="00432469" w:rsidRDefault="00432469" w:rsidP="008E4A19">
            <w:pPr>
              <w:spacing w:before="60" w:after="60"/>
              <w:jc w:val="both"/>
              <w:rPr>
                <w:sz w:val="20"/>
                <w:szCs w:val="20"/>
                <w:lang w:val="en-US"/>
              </w:rPr>
            </w:pPr>
            <w:r>
              <w:rPr>
                <w:sz w:val="20"/>
                <w:szCs w:val="20"/>
                <w:lang w:val="en-US"/>
              </w:rPr>
              <w:t xml:space="preserve">Questions raised during this discussion will continue to be explored in meetings with each of the constituencies between now and the Board, to provide further guidance to the Advocacy Working Group. </w:t>
            </w:r>
          </w:p>
        </w:tc>
        <w:tc>
          <w:tcPr>
            <w:tcW w:w="1911" w:type="dxa"/>
            <w:tcBorders>
              <w:top w:val="single" w:sz="4" w:space="0" w:color="auto"/>
              <w:left w:val="single" w:sz="4" w:space="0" w:color="auto"/>
              <w:bottom w:val="single" w:sz="4" w:space="0" w:color="auto"/>
              <w:right w:val="single" w:sz="4" w:space="0" w:color="auto"/>
            </w:tcBorders>
            <w:hideMark/>
          </w:tcPr>
          <w:p w14:paraId="7C0A8A3F" w14:textId="77777777" w:rsidR="00432469" w:rsidRDefault="00432469" w:rsidP="008E4A19">
            <w:pPr>
              <w:pStyle w:val="ListParagraph"/>
              <w:numPr>
                <w:ilvl w:val="0"/>
                <w:numId w:val="37"/>
              </w:numPr>
              <w:ind w:left="210" w:hanging="240"/>
              <w:rPr>
                <w:sz w:val="20"/>
                <w:szCs w:val="20"/>
                <w:lang w:val="en-US"/>
              </w:rPr>
            </w:pPr>
            <w:r>
              <w:rPr>
                <w:sz w:val="20"/>
                <w:szCs w:val="20"/>
                <w:lang w:val="en-US"/>
              </w:rPr>
              <w:t>Secretariat</w:t>
            </w:r>
          </w:p>
          <w:p w14:paraId="3B669975" w14:textId="77777777" w:rsidR="00432469" w:rsidRDefault="00432469" w:rsidP="008E4A19">
            <w:pPr>
              <w:pStyle w:val="ListParagraph"/>
              <w:numPr>
                <w:ilvl w:val="0"/>
                <w:numId w:val="37"/>
              </w:numPr>
              <w:ind w:left="210" w:hanging="240"/>
              <w:rPr>
                <w:sz w:val="20"/>
                <w:szCs w:val="20"/>
                <w:lang w:val="en-US"/>
              </w:rPr>
            </w:pPr>
            <w:r>
              <w:rPr>
                <w:sz w:val="20"/>
                <w:szCs w:val="20"/>
                <w:lang w:val="en-US"/>
              </w:rPr>
              <w:t>Constituencies</w:t>
            </w:r>
          </w:p>
        </w:tc>
      </w:tr>
    </w:tbl>
    <w:p w14:paraId="1999A3B1" w14:textId="3D5AA15E" w:rsidR="00CB4472" w:rsidRDefault="00CB4472" w:rsidP="00CB4472">
      <w:pPr>
        <w:pStyle w:val="ListParagraph"/>
        <w:numPr>
          <w:ilvl w:val="0"/>
          <w:numId w:val="26"/>
        </w:numPr>
        <w:spacing w:before="360" w:after="360" w:line="240" w:lineRule="auto"/>
        <w:jc w:val="both"/>
        <w:rPr>
          <w:b/>
          <w:color w:val="7030A0"/>
          <w:lang w:val="en-US"/>
        </w:rPr>
      </w:pPr>
      <w:r w:rsidRPr="00CB4472">
        <w:rPr>
          <w:b/>
          <w:color w:val="7030A0"/>
          <w:lang w:val="en-US"/>
        </w:rPr>
        <w:t>2020 Workplan progress report, including reflection on 2021 workplan process and resource mobilization efforts</w:t>
      </w:r>
    </w:p>
    <w:p w14:paraId="60F429CC" w14:textId="77777777" w:rsidR="00CB4472" w:rsidRDefault="00CB4472" w:rsidP="00CB4472">
      <w:pPr>
        <w:jc w:val="both"/>
        <w:rPr>
          <w:b/>
          <w:u w:val="single"/>
        </w:rPr>
      </w:pPr>
      <w:r>
        <w:rPr>
          <w:b/>
          <w:u w:val="single"/>
        </w:rPr>
        <w:t>Presentation</w:t>
      </w:r>
    </w:p>
    <w:p w14:paraId="11F46EB3" w14:textId="3B8862B9" w:rsidR="00CB4472" w:rsidRDefault="00CB4472" w:rsidP="00CB4472">
      <w:pPr>
        <w:spacing w:before="120" w:after="120"/>
        <w:jc w:val="both"/>
        <w:rPr>
          <w:rFonts w:cstheme="minorHAnsi"/>
          <w:bCs/>
        </w:rPr>
      </w:pPr>
      <w:r>
        <w:rPr>
          <w:rFonts w:cstheme="minorHAnsi"/>
          <w:bCs/>
        </w:rPr>
        <w:t xml:space="preserve">Helga </w:t>
      </w:r>
      <w:proofErr w:type="spellStart"/>
      <w:r>
        <w:rPr>
          <w:rFonts w:cstheme="minorHAnsi"/>
          <w:bCs/>
        </w:rPr>
        <w:t>Fogstad</w:t>
      </w:r>
      <w:proofErr w:type="spellEnd"/>
      <w:r>
        <w:rPr>
          <w:rFonts w:cstheme="minorHAnsi"/>
          <w:bCs/>
        </w:rPr>
        <w:t xml:space="preserve">, PMNCH Executive Director, presented </w:t>
      </w:r>
      <w:r w:rsidR="004A0518">
        <w:rPr>
          <w:rFonts w:cstheme="minorHAnsi"/>
          <w:bCs/>
        </w:rPr>
        <w:t>PMNCH’s</w:t>
      </w:r>
      <w:r w:rsidRPr="00CB4472">
        <w:rPr>
          <w:rFonts w:cstheme="minorHAnsi"/>
          <w:bCs/>
        </w:rPr>
        <w:tab/>
        <w:t>2020 Workplan progress report, including reflection on 2021 workplan process and resource mobilization efforts</w:t>
      </w:r>
      <w:r>
        <w:rPr>
          <w:rFonts w:cstheme="minorHAnsi"/>
          <w:bCs/>
        </w:rPr>
        <w:t xml:space="preserve">. </w:t>
      </w:r>
    </w:p>
    <w:p w14:paraId="6947789B" w14:textId="77777777" w:rsidR="00CB4472" w:rsidRDefault="00CB4472" w:rsidP="00CB4472">
      <w:pPr>
        <w:jc w:val="both"/>
        <w:rPr>
          <w:b/>
          <w:u w:val="single"/>
        </w:rPr>
      </w:pPr>
      <w:r>
        <w:rPr>
          <w:b/>
          <w:u w:val="single"/>
        </w:rPr>
        <w:t>Discussions</w:t>
      </w:r>
    </w:p>
    <w:p w14:paraId="0101A6C1" w14:textId="775B8826" w:rsidR="004A0518" w:rsidRDefault="00473032" w:rsidP="004A0518">
      <w:pPr>
        <w:pStyle w:val="ListParagraph"/>
        <w:numPr>
          <w:ilvl w:val="0"/>
          <w:numId w:val="27"/>
        </w:numPr>
        <w:spacing w:before="120" w:after="120" w:line="257" w:lineRule="auto"/>
        <w:contextualSpacing w:val="0"/>
        <w:jc w:val="both"/>
        <w:rPr>
          <w:rFonts w:cstheme="minorHAnsi"/>
          <w:bCs/>
        </w:rPr>
      </w:pPr>
      <w:r>
        <w:rPr>
          <w:rFonts w:cstheme="minorHAnsi"/>
          <w:bCs/>
        </w:rPr>
        <w:t xml:space="preserve">Executive Committee thanked Helga and the Secretariat on the </w:t>
      </w:r>
      <w:r w:rsidR="00473907">
        <w:rPr>
          <w:rFonts w:cstheme="minorHAnsi"/>
          <w:bCs/>
        </w:rPr>
        <w:t xml:space="preserve">excellent </w:t>
      </w:r>
      <w:r>
        <w:rPr>
          <w:rFonts w:cstheme="minorHAnsi"/>
          <w:bCs/>
        </w:rPr>
        <w:t>work undertaken in 2020</w:t>
      </w:r>
      <w:r w:rsidR="00A56873">
        <w:rPr>
          <w:rFonts w:cstheme="minorHAnsi"/>
          <w:bCs/>
        </w:rPr>
        <w:t>, as reflected in the documents shared in advance of the meeting</w:t>
      </w:r>
      <w:r w:rsidR="00473907">
        <w:rPr>
          <w:rFonts w:cstheme="minorHAnsi"/>
          <w:bCs/>
        </w:rPr>
        <w:t xml:space="preserve">, whilst </w:t>
      </w:r>
      <w:r w:rsidR="004B0166">
        <w:rPr>
          <w:rFonts w:cstheme="minorHAnsi"/>
          <w:bCs/>
        </w:rPr>
        <w:t xml:space="preserve">recognizing that this was done </w:t>
      </w:r>
      <w:r>
        <w:rPr>
          <w:rFonts w:cstheme="minorHAnsi"/>
          <w:bCs/>
        </w:rPr>
        <w:t xml:space="preserve">under some of the most unprecedented circumstances globally. </w:t>
      </w:r>
    </w:p>
    <w:p w14:paraId="052F02F5" w14:textId="77777777" w:rsidR="006054D5" w:rsidRDefault="00A56873" w:rsidP="006054D5">
      <w:pPr>
        <w:pStyle w:val="ListParagraph"/>
        <w:numPr>
          <w:ilvl w:val="0"/>
          <w:numId w:val="27"/>
        </w:numPr>
        <w:spacing w:before="120" w:after="120" w:line="257" w:lineRule="auto"/>
        <w:contextualSpacing w:val="0"/>
        <w:jc w:val="both"/>
        <w:rPr>
          <w:rFonts w:cstheme="minorHAnsi"/>
          <w:bCs/>
        </w:rPr>
      </w:pPr>
      <w:r>
        <w:rPr>
          <w:rFonts w:cstheme="minorHAnsi"/>
          <w:bCs/>
        </w:rPr>
        <w:t>The proposal</w:t>
      </w:r>
      <w:r w:rsidR="000B486A">
        <w:rPr>
          <w:rFonts w:cstheme="minorHAnsi"/>
          <w:bCs/>
        </w:rPr>
        <w:t>s</w:t>
      </w:r>
      <w:r>
        <w:rPr>
          <w:rFonts w:cstheme="minorHAnsi"/>
          <w:bCs/>
        </w:rPr>
        <w:t xml:space="preserve"> for structuring the </w:t>
      </w:r>
      <w:r w:rsidR="002A69A4">
        <w:rPr>
          <w:rFonts w:cstheme="minorHAnsi"/>
          <w:bCs/>
        </w:rPr>
        <w:t>forward-looking</w:t>
      </w:r>
      <w:r w:rsidR="00AE3451">
        <w:rPr>
          <w:rFonts w:cstheme="minorHAnsi"/>
          <w:bCs/>
        </w:rPr>
        <w:t xml:space="preserve"> Results Framework </w:t>
      </w:r>
      <w:r w:rsidR="002C4DBD">
        <w:rPr>
          <w:rFonts w:cstheme="minorHAnsi"/>
          <w:bCs/>
        </w:rPr>
        <w:t xml:space="preserve">were appreciated; </w:t>
      </w:r>
      <w:r w:rsidR="002A69A4">
        <w:rPr>
          <w:rFonts w:cstheme="minorHAnsi"/>
          <w:bCs/>
        </w:rPr>
        <w:t xml:space="preserve">the proposed structure for measuring progress that involved Products, Reach, and Usage was welcomed and the Secretariat was encouraged to continue developing this further. </w:t>
      </w:r>
    </w:p>
    <w:p w14:paraId="1C3A78F8" w14:textId="77777777" w:rsidR="00792797" w:rsidRDefault="006054D5" w:rsidP="006054D5">
      <w:pPr>
        <w:pStyle w:val="ListParagraph"/>
        <w:numPr>
          <w:ilvl w:val="0"/>
          <w:numId w:val="27"/>
        </w:numPr>
        <w:spacing w:before="120" w:after="120" w:line="257" w:lineRule="auto"/>
        <w:contextualSpacing w:val="0"/>
        <w:jc w:val="both"/>
        <w:rPr>
          <w:rFonts w:cstheme="minorHAnsi"/>
          <w:bCs/>
        </w:rPr>
      </w:pPr>
      <w:r>
        <w:rPr>
          <w:rFonts w:cstheme="minorHAnsi"/>
          <w:bCs/>
        </w:rPr>
        <w:t xml:space="preserve">It was confirmed that the Partnership </w:t>
      </w:r>
      <w:r w:rsidR="00F84368">
        <w:rPr>
          <w:rFonts w:cstheme="minorHAnsi"/>
          <w:bCs/>
        </w:rPr>
        <w:t xml:space="preserve">will continue to focus on facilitating the work of partners, providing a support ‘web’ that will </w:t>
      </w:r>
      <w:r w:rsidR="009449DF">
        <w:rPr>
          <w:rFonts w:cstheme="minorHAnsi"/>
          <w:bCs/>
        </w:rPr>
        <w:t>enable partners to deliver on the 2021 to 2025 Strategy</w:t>
      </w:r>
      <w:r w:rsidR="00AE79EC">
        <w:rPr>
          <w:rFonts w:cstheme="minorHAnsi"/>
          <w:bCs/>
        </w:rPr>
        <w:t>, and in particular to influence and improve relevant policy, financing and services.</w:t>
      </w:r>
    </w:p>
    <w:p w14:paraId="31EA179D" w14:textId="23BD9C96" w:rsidR="00034D62" w:rsidRDefault="00792797" w:rsidP="006054D5">
      <w:pPr>
        <w:pStyle w:val="ListParagraph"/>
        <w:numPr>
          <w:ilvl w:val="0"/>
          <w:numId w:val="27"/>
        </w:numPr>
        <w:spacing w:before="120" w:after="120" w:line="257" w:lineRule="auto"/>
        <w:contextualSpacing w:val="0"/>
        <w:jc w:val="both"/>
        <w:rPr>
          <w:rFonts w:cstheme="minorHAnsi"/>
          <w:bCs/>
        </w:rPr>
      </w:pPr>
      <w:r>
        <w:rPr>
          <w:rFonts w:cstheme="minorHAnsi"/>
          <w:bCs/>
        </w:rPr>
        <w:t xml:space="preserve">It is important that the Secretariat and partners continue to work </w:t>
      </w:r>
      <w:proofErr w:type="gramStart"/>
      <w:r>
        <w:rPr>
          <w:rFonts w:cstheme="minorHAnsi"/>
          <w:bCs/>
        </w:rPr>
        <w:t>hand-in-hand</w:t>
      </w:r>
      <w:proofErr w:type="gramEnd"/>
      <w:r>
        <w:rPr>
          <w:rFonts w:cstheme="minorHAnsi"/>
          <w:bCs/>
        </w:rPr>
        <w:t xml:space="preserve"> and move together forward.</w:t>
      </w:r>
      <w:r w:rsidR="009449DF">
        <w:rPr>
          <w:rFonts w:cstheme="minorHAnsi"/>
          <w:bCs/>
        </w:rPr>
        <w:t xml:space="preserve"> </w:t>
      </w:r>
    </w:p>
    <w:tbl>
      <w:tblPr>
        <w:tblStyle w:val="TableGrid"/>
        <w:tblW w:w="0" w:type="auto"/>
        <w:tblLook w:val="04A0" w:firstRow="1" w:lastRow="0" w:firstColumn="1" w:lastColumn="0" w:noHBand="0" w:noVBand="1"/>
      </w:tblPr>
      <w:tblGrid>
        <w:gridCol w:w="571"/>
        <w:gridCol w:w="6535"/>
        <w:gridCol w:w="1910"/>
      </w:tblGrid>
      <w:tr w:rsidR="002E4B31" w14:paraId="39AFCCDF" w14:textId="77777777" w:rsidTr="00792797">
        <w:trPr>
          <w:tblHeader/>
        </w:trPr>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E6E35" w14:textId="77777777" w:rsidR="002E4B31" w:rsidRDefault="002E4B31" w:rsidP="008E4A19">
            <w:pPr>
              <w:spacing w:before="120" w:after="120"/>
              <w:jc w:val="both"/>
              <w:rPr>
                <w:b/>
                <w:sz w:val="20"/>
                <w:szCs w:val="20"/>
                <w:lang w:val="en-US"/>
              </w:rPr>
            </w:pPr>
          </w:p>
        </w:tc>
        <w:tc>
          <w:tcPr>
            <w:tcW w:w="6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06D58C" w14:textId="77777777" w:rsidR="002E4B31" w:rsidRDefault="002E4B31" w:rsidP="008E4A19">
            <w:pPr>
              <w:spacing w:before="120" w:after="120"/>
              <w:jc w:val="both"/>
              <w:rPr>
                <w:b/>
                <w:sz w:val="20"/>
                <w:szCs w:val="20"/>
                <w:lang w:val="en-US"/>
              </w:rPr>
            </w:pPr>
            <w:r>
              <w:rPr>
                <w:b/>
                <w:sz w:val="20"/>
                <w:szCs w:val="20"/>
                <w:lang w:val="en-US"/>
              </w:rPr>
              <w:t>Decision / Action</w:t>
            </w:r>
          </w:p>
        </w:tc>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B4415" w14:textId="77777777" w:rsidR="002E4B31" w:rsidRDefault="002E4B31" w:rsidP="008E4A19">
            <w:pPr>
              <w:spacing w:before="120" w:after="120"/>
              <w:jc w:val="both"/>
              <w:rPr>
                <w:b/>
                <w:sz w:val="20"/>
                <w:szCs w:val="20"/>
                <w:lang w:val="en-US"/>
              </w:rPr>
            </w:pPr>
            <w:r>
              <w:rPr>
                <w:b/>
                <w:sz w:val="20"/>
                <w:szCs w:val="20"/>
                <w:lang w:val="en-US"/>
              </w:rPr>
              <w:t>Responsibility</w:t>
            </w:r>
          </w:p>
        </w:tc>
      </w:tr>
      <w:tr w:rsidR="002E4B31" w14:paraId="1BF84DC2" w14:textId="77777777" w:rsidTr="00792797">
        <w:trPr>
          <w:cantSplit/>
        </w:trPr>
        <w:tc>
          <w:tcPr>
            <w:tcW w:w="571" w:type="dxa"/>
            <w:tcBorders>
              <w:top w:val="single" w:sz="4" w:space="0" w:color="auto"/>
              <w:left w:val="single" w:sz="4" w:space="0" w:color="auto"/>
              <w:bottom w:val="single" w:sz="4" w:space="0" w:color="auto"/>
              <w:right w:val="single" w:sz="4" w:space="0" w:color="auto"/>
            </w:tcBorders>
            <w:hideMark/>
          </w:tcPr>
          <w:p w14:paraId="2853486D" w14:textId="77777777" w:rsidR="002E4B31" w:rsidRDefault="002E4B31" w:rsidP="008E4A19">
            <w:pPr>
              <w:spacing w:before="60" w:after="60"/>
              <w:jc w:val="both"/>
              <w:rPr>
                <w:sz w:val="20"/>
                <w:szCs w:val="20"/>
                <w:lang w:val="en-US"/>
              </w:rPr>
            </w:pPr>
            <w:r>
              <w:rPr>
                <w:sz w:val="20"/>
                <w:szCs w:val="20"/>
                <w:lang w:val="en-US"/>
              </w:rPr>
              <w:t>5.1</w:t>
            </w:r>
          </w:p>
        </w:tc>
        <w:tc>
          <w:tcPr>
            <w:tcW w:w="6535" w:type="dxa"/>
            <w:tcBorders>
              <w:top w:val="single" w:sz="4" w:space="0" w:color="auto"/>
              <w:left w:val="single" w:sz="4" w:space="0" w:color="auto"/>
              <w:bottom w:val="single" w:sz="4" w:space="0" w:color="auto"/>
              <w:right w:val="single" w:sz="4" w:space="0" w:color="auto"/>
            </w:tcBorders>
            <w:hideMark/>
          </w:tcPr>
          <w:p w14:paraId="1E0E4708" w14:textId="77777777" w:rsidR="002E4B31" w:rsidRDefault="002E4B31" w:rsidP="008E4A19">
            <w:pPr>
              <w:spacing w:before="60" w:after="60"/>
              <w:jc w:val="both"/>
              <w:rPr>
                <w:sz w:val="20"/>
                <w:szCs w:val="20"/>
                <w:lang w:val="en-US"/>
              </w:rPr>
            </w:pPr>
            <w:r>
              <w:rPr>
                <w:sz w:val="20"/>
                <w:szCs w:val="20"/>
                <w:lang w:val="en-US"/>
              </w:rPr>
              <w:t>The EC appreciated and commended all the focus and work completed in 2020. The presentation will be shared with the Executive Committee members, and its content will be discussed in meetings with individual constituencies in advance of the Board.</w:t>
            </w:r>
          </w:p>
        </w:tc>
        <w:tc>
          <w:tcPr>
            <w:tcW w:w="1910" w:type="dxa"/>
            <w:tcBorders>
              <w:top w:val="single" w:sz="4" w:space="0" w:color="auto"/>
              <w:left w:val="single" w:sz="4" w:space="0" w:color="auto"/>
              <w:bottom w:val="single" w:sz="4" w:space="0" w:color="auto"/>
              <w:right w:val="single" w:sz="4" w:space="0" w:color="auto"/>
            </w:tcBorders>
            <w:hideMark/>
          </w:tcPr>
          <w:p w14:paraId="24C7B1AF" w14:textId="77777777" w:rsidR="002E4B31" w:rsidRDefault="002E4B31" w:rsidP="008E4A19">
            <w:pPr>
              <w:spacing w:before="60" w:after="60"/>
              <w:jc w:val="both"/>
              <w:rPr>
                <w:sz w:val="20"/>
                <w:szCs w:val="20"/>
                <w:lang w:val="en-US"/>
              </w:rPr>
            </w:pPr>
            <w:r>
              <w:rPr>
                <w:sz w:val="20"/>
                <w:szCs w:val="20"/>
                <w:lang w:val="en-US"/>
              </w:rPr>
              <w:t>Secretariat</w:t>
            </w:r>
          </w:p>
        </w:tc>
      </w:tr>
      <w:tr w:rsidR="002E4B31" w14:paraId="2FAFFB6F" w14:textId="77777777" w:rsidTr="00792797">
        <w:trPr>
          <w:cantSplit/>
        </w:trPr>
        <w:tc>
          <w:tcPr>
            <w:tcW w:w="571" w:type="dxa"/>
            <w:tcBorders>
              <w:top w:val="single" w:sz="4" w:space="0" w:color="auto"/>
              <w:left w:val="single" w:sz="4" w:space="0" w:color="auto"/>
              <w:bottom w:val="single" w:sz="4" w:space="0" w:color="auto"/>
              <w:right w:val="single" w:sz="4" w:space="0" w:color="auto"/>
            </w:tcBorders>
            <w:hideMark/>
          </w:tcPr>
          <w:p w14:paraId="1FCBD462" w14:textId="77777777" w:rsidR="002E4B31" w:rsidRDefault="002E4B31" w:rsidP="008E4A19">
            <w:pPr>
              <w:spacing w:before="60" w:after="60"/>
              <w:jc w:val="both"/>
              <w:rPr>
                <w:sz w:val="20"/>
                <w:szCs w:val="20"/>
                <w:lang w:val="en-US"/>
              </w:rPr>
            </w:pPr>
            <w:r>
              <w:rPr>
                <w:sz w:val="20"/>
                <w:szCs w:val="20"/>
                <w:lang w:val="en-US"/>
              </w:rPr>
              <w:t>5.2</w:t>
            </w:r>
          </w:p>
        </w:tc>
        <w:tc>
          <w:tcPr>
            <w:tcW w:w="6535" w:type="dxa"/>
            <w:tcBorders>
              <w:top w:val="single" w:sz="4" w:space="0" w:color="auto"/>
              <w:left w:val="single" w:sz="4" w:space="0" w:color="auto"/>
              <w:bottom w:val="single" w:sz="4" w:space="0" w:color="auto"/>
              <w:right w:val="single" w:sz="4" w:space="0" w:color="auto"/>
            </w:tcBorders>
            <w:hideMark/>
          </w:tcPr>
          <w:p w14:paraId="699F8353" w14:textId="77777777" w:rsidR="002E4B31" w:rsidRDefault="002E4B31" w:rsidP="008E4A19">
            <w:pPr>
              <w:spacing w:before="60" w:after="60"/>
              <w:jc w:val="both"/>
              <w:rPr>
                <w:sz w:val="20"/>
                <w:szCs w:val="20"/>
                <w:lang w:val="en-US"/>
              </w:rPr>
            </w:pPr>
            <w:r>
              <w:rPr>
                <w:sz w:val="20"/>
                <w:szCs w:val="20"/>
                <w:lang w:val="en-US"/>
              </w:rPr>
              <w:t>It was suggested that at least one person from each standing committee and Working Group is invited to be part of a taskforce that will take forward the development of the PMNCH Results Framework.</w:t>
            </w:r>
          </w:p>
        </w:tc>
        <w:tc>
          <w:tcPr>
            <w:tcW w:w="1910" w:type="dxa"/>
            <w:tcBorders>
              <w:top w:val="single" w:sz="4" w:space="0" w:color="auto"/>
              <w:left w:val="single" w:sz="4" w:space="0" w:color="auto"/>
              <w:bottom w:val="single" w:sz="4" w:space="0" w:color="auto"/>
              <w:right w:val="single" w:sz="4" w:space="0" w:color="auto"/>
            </w:tcBorders>
            <w:hideMark/>
          </w:tcPr>
          <w:p w14:paraId="277DEB2F" w14:textId="77777777" w:rsidR="002E4B31" w:rsidRDefault="002E4B31" w:rsidP="008E4A19">
            <w:pPr>
              <w:pStyle w:val="ListParagraph"/>
              <w:numPr>
                <w:ilvl w:val="0"/>
                <w:numId w:val="37"/>
              </w:numPr>
              <w:ind w:left="210" w:hanging="240"/>
              <w:rPr>
                <w:sz w:val="20"/>
                <w:szCs w:val="20"/>
              </w:rPr>
            </w:pPr>
            <w:r>
              <w:rPr>
                <w:sz w:val="20"/>
                <w:szCs w:val="20"/>
              </w:rPr>
              <w:t>Secretariat</w:t>
            </w:r>
          </w:p>
          <w:p w14:paraId="24B4305C" w14:textId="77777777" w:rsidR="002E4B31" w:rsidRDefault="002E4B31" w:rsidP="008E4A19">
            <w:pPr>
              <w:pStyle w:val="ListParagraph"/>
              <w:numPr>
                <w:ilvl w:val="0"/>
                <w:numId w:val="37"/>
              </w:numPr>
              <w:ind w:left="210" w:hanging="240"/>
              <w:rPr>
                <w:sz w:val="20"/>
                <w:szCs w:val="20"/>
              </w:rPr>
            </w:pPr>
            <w:r>
              <w:rPr>
                <w:sz w:val="20"/>
                <w:szCs w:val="20"/>
              </w:rPr>
              <w:t>Working Groups</w:t>
            </w:r>
          </w:p>
        </w:tc>
      </w:tr>
      <w:tr w:rsidR="002E4B31" w14:paraId="7CE87634" w14:textId="77777777" w:rsidTr="00792797">
        <w:trPr>
          <w:cantSplit/>
        </w:trPr>
        <w:tc>
          <w:tcPr>
            <w:tcW w:w="571" w:type="dxa"/>
            <w:tcBorders>
              <w:top w:val="single" w:sz="4" w:space="0" w:color="auto"/>
              <w:left w:val="single" w:sz="4" w:space="0" w:color="auto"/>
              <w:bottom w:val="single" w:sz="4" w:space="0" w:color="auto"/>
              <w:right w:val="single" w:sz="4" w:space="0" w:color="auto"/>
            </w:tcBorders>
            <w:hideMark/>
          </w:tcPr>
          <w:p w14:paraId="0D4DAC24" w14:textId="77777777" w:rsidR="002E4B31" w:rsidRDefault="002E4B31" w:rsidP="008E4A19">
            <w:pPr>
              <w:spacing w:before="60" w:after="60"/>
              <w:jc w:val="both"/>
              <w:rPr>
                <w:sz w:val="20"/>
                <w:szCs w:val="20"/>
                <w:lang w:val="en-US"/>
              </w:rPr>
            </w:pPr>
            <w:r>
              <w:rPr>
                <w:sz w:val="20"/>
                <w:szCs w:val="20"/>
                <w:lang w:val="en-US"/>
              </w:rPr>
              <w:t>5.3</w:t>
            </w:r>
          </w:p>
        </w:tc>
        <w:tc>
          <w:tcPr>
            <w:tcW w:w="6535" w:type="dxa"/>
            <w:tcBorders>
              <w:top w:val="single" w:sz="4" w:space="0" w:color="auto"/>
              <w:left w:val="single" w:sz="4" w:space="0" w:color="auto"/>
              <w:bottom w:val="single" w:sz="4" w:space="0" w:color="auto"/>
              <w:right w:val="single" w:sz="4" w:space="0" w:color="auto"/>
            </w:tcBorders>
            <w:hideMark/>
          </w:tcPr>
          <w:p w14:paraId="77D19A3F" w14:textId="77777777" w:rsidR="002E4B31" w:rsidRDefault="002E4B31" w:rsidP="008E4A19">
            <w:pPr>
              <w:spacing w:before="60" w:after="60"/>
              <w:jc w:val="both"/>
              <w:rPr>
                <w:sz w:val="20"/>
                <w:szCs w:val="20"/>
                <w:lang w:val="en-US"/>
              </w:rPr>
            </w:pPr>
            <w:r>
              <w:rPr>
                <w:sz w:val="20"/>
                <w:szCs w:val="20"/>
                <w:lang w:val="en-US"/>
              </w:rPr>
              <w:t>Considering the Results Framework, there is merit in considering ways in which this framework could describe the “force multiplier effect” of different parts of PMNCH working together (partners, secretariat, Board etc.), potentially considering ways in which it may be possible to show contributions by the Secretariat and those by the Partners.</w:t>
            </w:r>
          </w:p>
        </w:tc>
        <w:tc>
          <w:tcPr>
            <w:tcW w:w="1910" w:type="dxa"/>
            <w:tcBorders>
              <w:top w:val="single" w:sz="4" w:space="0" w:color="auto"/>
              <w:left w:val="single" w:sz="4" w:space="0" w:color="auto"/>
              <w:bottom w:val="single" w:sz="4" w:space="0" w:color="auto"/>
              <w:right w:val="single" w:sz="4" w:space="0" w:color="auto"/>
            </w:tcBorders>
            <w:hideMark/>
          </w:tcPr>
          <w:p w14:paraId="3F17536E" w14:textId="77777777" w:rsidR="002E4B31" w:rsidRDefault="002E4B31" w:rsidP="008E4A19">
            <w:pPr>
              <w:pStyle w:val="ListParagraph"/>
              <w:numPr>
                <w:ilvl w:val="0"/>
                <w:numId w:val="37"/>
              </w:numPr>
              <w:ind w:left="210" w:hanging="240"/>
              <w:rPr>
                <w:sz w:val="20"/>
                <w:szCs w:val="20"/>
              </w:rPr>
            </w:pPr>
            <w:r>
              <w:rPr>
                <w:sz w:val="20"/>
                <w:szCs w:val="20"/>
              </w:rPr>
              <w:t>Secretariat</w:t>
            </w:r>
          </w:p>
        </w:tc>
      </w:tr>
      <w:tr w:rsidR="002E4B31" w14:paraId="2E4C1552" w14:textId="77777777" w:rsidTr="00792797">
        <w:trPr>
          <w:cantSplit/>
        </w:trPr>
        <w:tc>
          <w:tcPr>
            <w:tcW w:w="571" w:type="dxa"/>
            <w:tcBorders>
              <w:top w:val="single" w:sz="4" w:space="0" w:color="auto"/>
              <w:left w:val="single" w:sz="4" w:space="0" w:color="auto"/>
              <w:bottom w:val="single" w:sz="4" w:space="0" w:color="auto"/>
              <w:right w:val="single" w:sz="4" w:space="0" w:color="auto"/>
            </w:tcBorders>
            <w:hideMark/>
          </w:tcPr>
          <w:p w14:paraId="7D0BA186" w14:textId="4DAC9363" w:rsidR="002E4B31" w:rsidRDefault="002E4B31" w:rsidP="008E4A19">
            <w:pPr>
              <w:spacing w:before="60" w:after="60"/>
              <w:jc w:val="both"/>
              <w:rPr>
                <w:sz w:val="20"/>
                <w:szCs w:val="20"/>
                <w:lang w:val="en-US"/>
              </w:rPr>
            </w:pPr>
            <w:r>
              <w:rPr>
                <w:sz w:val="20"/>
                <w:szCs w:val="20"/>
                <w:lang w:val="en-US"/>
              </w:rPr>
              <w:lastRenderedPageBreak/>
              <w:t>5.4</w:t>
            </w:r>
          </w:p>
        </w:tc>
        <w:tc>
          <w:tcPr>
            <w:tcW w:w="6535" w:type="dxa"/>
            <w:tcBorders>
              <w:top w:val="single" w:sz="4" w:space="0" w:color="auto"/>
              <w:left w:val="single" w:sz="4" w:space="0" w:color="auto"/>
              <w:bottom w:val="single" w:sz="4" w:space="0" w:color="auto"/>
              <w:right w:val="single" w:sz="4" w:space="0" w:color="auto"/>
            </w:tcBorders>
            <w:hideMark/>
          </w:tcPr>
          <w:p w14:paraId="42407C9A" w14:textId="77777777" w:rsidR="002E4B31" w:rsidRDefault="002E4B31" w:rsidP="008E4A19">
            <w:pPr>
              <w:spacing w:before="60" w:after="60"/>
              <w:jc w:val="both"/>
              <w:rPr>
                <w:sz w:val="20"/>
                <w:szCs w:val="20"/>
                <w:lang w:val="en-US"/>
              </w:rPr>
            </w:pPr>
            <w:r>
              <w:rPr>
                <w:sz w:val="20"/>
                <w:szCs w:val="20"/>
                <w:lang w:val="en-US"/>
              </w:rPr>
              <w:t>Secretariat will be seeking support from the Executive Committee in its work on Resource Mobilization for its 2021 to 2025 Strategy.</w:t>
            </w:r>
          </w:p>
        </w:tc>
        <w:tc>
          <w:tcPr>
            <w:tcW w:w="1910" w:type="dxa"/>
            <w:tcBorders>
              <w:top w:val="single" w:sz="4" w:space="0" w:color="auto"/>
              <w:left w:val="single" w:sz="4" w:space="0" w:color="auto"/>
              <w:bottom w:val="single" w:sz="4" w:space="0" w:color="auto"/>
              <w:right w:val="single" w:sz="4" w:space="0" w:color="auto"/>
            </w:tcBorders>
            <w:hideMark/>
          </w:tcPr>
          <w:p w14:paraId="3EF90194" w14:textId="77777777" w:rsidR="002E4B31" w:rsidRDefault="002E4B31" w:rsidP="008E4A19">
            <w:pPr>
              <w:pStyle w:val="ListParagraph"/>
              <w:numPr>
                <w:ilvl w:val="0"/>
                <w:numId w:val="37"/>
              </w:numPr>
              <w:ind w:left="210" w:hanging="240"/>
              <w:rPr>
                <w:sz w:val="20"/>
                <w:szCs w:val="20"/>
                <w:lang w:val="en-US"/>
              </w:rPr>
            </w:pPr>
            <w:r>
              <w:rPr>
                <w:sz w:val="20"/>
                <w:szCs w:val="20"/>
              </w:rPr>
              <w:t>Secretariat</w:t>
            </w:r>
          </w:p>
          <w:p w14:paraId="71BE583D" w14:textId="77777777" w:rsidR="002E4B31" w:rsidRDefault="002E4B31" w:rsidP="008E4A19">
            <w:pPr>
              <w:pStyle w:val="ListParagraph"/>
              <w:numPr>
                <w:ilvl w:val="0"/>
                <w:numId w:val="37"/>
              </w:numPr>
              <w:ind w:left="210" w:hanging="240"/>
              <w:rPr>
                <w:sz w:val="20"/>
                <w:szCs w:val="20"/>
                <w:lang w:val="en-US"/>
              </w:rPr>
            </w:pPr>
            <w:r>
              <w:rPr>
                <w:sz w:val="20"/>
                <w:szCs w:val="20"/>
                <w:lang w:val="en-US"/>
              </w:rPr>
              <w:t>EC</w:t>
            </w:r>
          </w:p>
        </w:tc>
      </w:tr>
    </w:tbl>
    <w:p w14:paraId="340E413D" w14:textId="049928FB" w:rsidR="00BD3DAA" w:rsidRDefault="00BD3DAA" w:rsidP="004A0518">
      <w:pPr>
        <w:pStyle w:val="ListParagraph"/>
        <w:numPr>
          <w:ilvl w:val="0"/>
          <w:numId w:val="26"/>
        </w:numPr>
        <w:spacing w:before="360" w:after="360" w:line="240" w:lineRule="auto"/>
        <w:jc w:val="both"/>
        <w:rPr>
          <w:b/>
          <w:color w:val="7030A0"/>
          <w:lang w:val="en-US"/>
        </w:rPr>
      </w:pPr>
      <w:r w:rsidRPr="004A0518">
        <w:rPr>
          <w:b/>
          <w:color w:val="7030A0"/>
          <w:lang w:val="en-US"/>
        </w:rPr>
        <w:t>ITEM 6 – Any other business</w:t>
      </w:r>
    </w:p>
    <w:p w14:paraId="6E38D682" w14:textId="77777777" w:rsidR="004A0518" w:rsidRDefault="004A0518" w:rsidP="004A0518">
      <w:pPr>
        <w:jc w:val="both"/>
        <w:rPr>
          <w:b/>
          <w:u w:val="single"/>
        </w:rPr>
      </w:pPr>
      <w:r>
        <w:rPr>
          <w:b/>
          <w:u w:val="single"/>
        </w:rPr>
        <w:t>Presentation</w:t>
      </w:r>
    </w:p>
    <w:p w14:paraId="7486329A" w14:textId="77777777" w:rsidR="004A0518" w:rsidRDefault="004A0518" w:rsidP="004A0518">
      <w:pPr>
        <w:spacing w:before="120" w:after="120"/>
        <w:jc w:val="both"/>
        <w:rPr>
          <w:rFonts w:cstheme="minorHAnsi"/>
          <w:bCs/>
        </w:rPr>
      </w:pPr>
      <w:r>
        <w:rPr>
          <w:rFonts w:cstheme="minorHAnsi"/>
          <w:bCs/>
        </w:rPr>
        <w:t xml:space="preserve">Helga </w:t>
      </w:r>
      <w:proofErr w:type="spellStart"/>
      <w:r>
        <w:rPr>
          <w:rFonts w:cstheme="minorHAnsi"/>
          <w:bCs/>
        </w:rPr>
        <w:t>Fogstad</w:t>
      </w:r>
      <w:proofErr w:type="spellEnd"/>
      <w:r>
        <w:rPr>
          <w:rFonts w:cstheme="minorHAnsi"/>
          <w:bCs/>
        </w:rPr>
        <w:t>, presented the two Agendas for EC discussions, including:</w:t>
      </w:r>
    </w:p>
    <w:p w14:paraId="7BE40BA8" w14:textId="17A8EDA7" w:rsidR="00FA3EAF" w:rsidRPr="00FA3EAF" w:rsidRDefault="00FA3EAF" w:rsidP="00FA3EAF">
      <w:pPr>
        <w:pStyle w:val="ListParagraph"/>
        <w:numPr>
          <w:ilvl w:val="0"/>
          <w:numId w:val="27"/>
        </w:numPr>
        <w:spacing w:before="120" w:after="120" w:line="257" w:lineRule="auto"/>
        <w:contextualSpacing w:val="0"/>
        <w:jc w:val="both"/>
        <w:rPr>
          <w:rFonts w:cstheme="minorHAnsi"/>
          <w:bCs/>
        </w:rPr>
      </w:pPr>
      <w:r w:rsidRPr="00FA3EAF">
        <w:rPr>
          <w:rFonts w:cstheme="minorHAnsi"/>
          <w:bCs/>
        </w:rPr>
        <w:t xml:space="preserve">Draft Agenda for the PMNCH 26th Virtual Board meeting </w:t>
      </w:r>
    </w:p>
    <w:p w14:paraId="433B29DB" w14:textId="1E67A08B" w:rsidR="004A0518" w:rsidRPr="009D04EA" w:rsidRDefault="00FA3EAF" w:rsidP="009D04EA">
      <w:pPr>
        <w:pStyle w:val="ListParagraph"/>
        <w:numPr>
          <w:ilvl w:val="0"/>
          <w:numId w:val="27"/>
        </w:numPr>
        <w:spacing w:before="120" w:after="120" w:line="257" w:lineRule="auto"/>
        <w:contextualSpacing w:val="0"/>
        <w:jc w:val="both"/>
        <w:rPr>
          <w:rFonts w:cstheme="minorHAnsi"/>
          <w:bCs/>
        </w:rPr>
      </w:pPr>
      <w:r w:rsidRPr="00FA3EAF">
        <w:rPr>
          <w:rFonts w:cstheme="minorHAnsi"/>
          <w:bCs/>
        </w:rPr>
        <w:t>Draft Agenda for the Lives in the Balance part 2 virtual summit</w:t>
      </w:r>
      <w:r w:rsidR="004A0518">
        <w:rPr>
          <w:rFonts w:cstheme="minorHAnsi"/>
          <w:bCs/>
        </w:rPr>
        <w:t xml:space="preserve"> </w:t>
      </w:r>
    </w:p>
    <w:tbl>
      <w:tblPr>
        <w:tblStyle w:val="TableGrid"/>
        <w:tblW w:w="0" w:type="auto"/>
        <w:tblLook w:val="04A0" w:firstRow="1" w:lastRow="0" w:firstColumn="1" w:lastColumn="0" w:noHBand="0" w:noVBand="1"/>
      </w:tblPr>
      <w:tblGrid>
        <w:gridCol w:w="562"/>
        <w:gridCol w:w="6543"/>
        <w:gridCol w:w="1911"/>
      </w:tblGrid>
      <w:tr w:rsidR="00792797" w14:paraId="4463F334" w14:textId="77777777" w:rsidTr="008E4A19">
        <w:trPr>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E98FE4" w14:textId="77777777" w:rsidR="00792797" w:rsidRDefault="00792797" w:rsidP="008E4A19">
            <w:pPr>
              <w:spacing w:before="120" w:after="120"/>
              <w:jc w:val="both"/>
              <w:rPr>
                <w:b/>
                <w:sz w:val="20"/>
                <w:szCs w:val="20"/>
                <w:lang w:val="en-US"/>
              </w:rPr>
            </w:pPr>
          </w:p>
        </w:tc>
        <w:tc>
          <w:tcPr>
            <w:tcW w:w="6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420560" w14:textId="77777777" w:rsidR="00792797" w:rsidRDefault="00792797" w:rsidP="008E4A19">
            <w:pPr>
              <w:spacing w:before="120" w:after="120"/>
              <w:jc w:val="both"/>
              <w:rPr>
                <w:b/>
                <w:sz w:val="20"/>
                <w:szCs w:val="20"/>
                <w:lang w:val="en-US"/>
              </w:rPr>
            </w:pPr>
            <w:r>
              <w:rPr>
                <w:b/>
                <w:sz w:val="20"/>
                <w:szCs w:val="20"/>
                <w:lang w:val="en-US"/>
              </w:rPr>
              <w:t>Decision / Action</w:t>
            </w:r>
          </w:p>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D53521" w14:textId="77777777" w:rsidR="00792797" w:rsidRDefault="00792797" w:rsidP="008E4A19">
            <w:pPr>
              <w:spacing w:before="120" w:after="120"/>
              <w:jc w:val="both"/>
              <w:rPr>
                <w:b/>
                <w:sz w:val="20"/>
                <w:szCs w:val="20"/>
                <w:lang w:val="en-US"/>
              </w:rPr>
            </w:pPr>
            <w:r>
              <w:rPr>
                <w:b/>
                <w:sz w:val="20"/>
                <w:szCs w:val="20"/>
                <w:lang w:val="en-US"/>
              </w:rPr>
              <w:t>Responsibility</w:t>
            </w:r>
          </w:p>
        </w:tc>
      </w:tr>
      <w:tr w:rsidR="00792797" w14:paraId="40CC5B94" w14:textId="77777777" w:rsidTr="008E4A19">
        <w:trPr>
          <w:cantSplit/>
        </w:trPr>
        <w:tc>
          <w:tcPr>
            <w:tcW w:w="562" w:type="dxa"/>
            <w:tcBorders>
              <w:top w:val="single" w:sz="4" w:space="0" w:color="auto"/>
              <w:left w:val="single" w:sz="4" w:space="0" w:color="auto"/>
              <w:bottom w:val="single" w:sz="4" w:space="0" w:color="auto"/>
              <w:right w:val="single" w:sz="4" w:space="0" w:color="auto"/>
            </w:tcBorders>
            <w:hideMark/>
          </w:tcPr>
          <w:p w14:paraId="4975DEEB" w14:textId="77777777" w:rsidR="00792797" w:rsidRDefault="00792797" w:rsidP="008E4A19">
            <w:pPr>
              <w:spacing w:before="60" w:after="60"/>
              <w:jc w:val="both"/>
              <w:rPr>
                <w:sz w:val="20"/>
                <w:szCs w:val="20"/>
                <w:lang w:val="en-US"/>
              </w:rPr>
            </w:pPr>
            <w:r>
              <w:rPr>
                <w:sz w:val="20"/>
                <w:szCs w:val="20"/>
                <w:lang w:val="en-US"/>
              </w:rPr>
              <w:t>6.1</w:t>
            </w:r>
          </w:p>
        </w:tc>
        <w:tc>
          <w:tcPr>
            <w:tcW w:w="6543" w:type="dxa"/>
            <w:tcBorders>
              <w:top w:val="single" w:sz="4" w:space="0" w:color="auto"/>
              <w:left w:val="single" w:sz="4" w:space="0" w:color="auto"/>
              <w:bottom w:val="single" w:sz="4" w:space="0" w:color="auto"/>
              <w:right w:val="single" w:sz="4" w:space="0" w:color="auto"/>
            </w:tcBorders>
            <w:hideMark/>
          </w:tcPr>
          <w:p w14:paraId="49F5ACB8" w14:textId="77777777" w:rsidR="00792797" w:rsidRDefault="00792797" w:rsidP="008E4A19">
            <w:pPr>
              <w:spacing w:before="60" w:after="60"/>
              <w:jc w:val="both"/>
              <w:rPr>
                <w:sz w:val="20"/>
                <w:szCs w:val="20"/>
                <w:lang w:val="en-US"/>
              </w:rPr>
            </w:pPr>
            <w:r>
              <w:rPr>
                <w:sz w:val="20"/>
                <w:szCs w:val="20"/>
                <w:lang w:val="en-US"/>
              </w:rPr>
              <w:t>No objections to the Draft Agenda for the PMNCH 26th Virtual Board meeting.</w:t>
            </w:r>
          </w:p>
        </w:tc>
        <w:tc>
          <w:tcPr>
            <w:tcW w:w="1911" w:type="dxa"/>
            <w:tcBorders>
              <w:top w:val="single" w:sz="4" w:space="0" w:color="auto"/>
              <w:left w:val="single" w:sz="4" w:space="0" w:color="auto"/>
              <w:bottom w:val="single" w:sz="4" w:space="0" w:color="auto"/>
              <w:right w:val="single" w:sz="4" w:space="0" w:color="auto"/>
            </w:tcBorders>
            <w:hideMark/>
          </w:tcPr>
          <w:p w14:paraId="70EFF664" w14:textId="77777777" w:rsidR="00792797" w:rsidRDefault="00792797" w:rsidP="008E4A19">
            <w:pPr>
              <w:spacing w:before="60" w:after="60"/>
              <w:jc w:val="both"/>
              <w:rPr>
                <w:sz w:val="20"/>
                <w:szCs w:val="20"/>
                <w:lang w:val="en-US"/>
              </w:rPr>
            </w:pPr>
            <w:r>
              <w:rPr>
                <w:sz w:val="20"/>
                <w:szCs w:val="20"/>
                <w:lang w:val="en-US"/>
              </w:rPr>
              <w:t>Secretariat</w:t>
            </w:r>
          </w:p>
        </w:tc>
      </w:tr>
      <w:tr w:rsidR="00792797" w14:paraId="74AF0718" w14:textId="77777777" w:rsidTr="008E4A19">
        <w:trPr>
          <w:cantSplit/>
        </w:trPr>
        <w:tc>
          <w:tcPr>
            <w:tcW w:w="562" w:type="dxa"/>
            <w:tcBorders>
              <w:top w:val="single" w:sz="4" w:space="0" w:color="auto"/>
              <w:left w:val="single" w:sz="4" w:space="0" w:color="auto"/>
              <w:bottom w:val="single" w:sz="4" w:space="0" w:color="auto"/>
              <w:right w:val="single" w:sz="4" w:space="0" w:color="auto"/>
            </w:tcBorders>
            <w:hideMark/>
          </w:tcPr>
          <w:p w14:paraId="7AE22357" w14:textId="77777777" w:rsidR="00792797" w:rsidRDefault="00792797" w:rsidP="008E4A19">
            <w:pPr>
              <w:spacing w:before="60" w:after="60"/>
              <w:jc w:val="both"/>
              <w:rPr>
                <w:sz w:val="20"/>
                <w:szCs w:val="20"/>
                <w:lang w:val="en-US"/>
              </w:rPr>
            </w:pPr>
            <w:r>
              <w:rPr>
                <w:sz w:val="20"/>
                <w:szCs w:val="20"/>
                <w:lang w:val="en-US"/>
              </w:rPr>
              <w:t>6.2</w:t>
            </w:r>
          </w:p>
        </w:tc>
        <w:tc>
          <w:tcPr>
            <w:tcW w:w="6543" w:type="dxa"/>
            <w:tcBorders>
              <w:top w:val="single" w:sz="4" w:space="0" w:color="auto"/>
              <w:left w:val="single" w:sz="4" w:space="0" w:color="auto"/>
              <w:bottom w:val="single" w:sz="4" w:space="0" w:color="auto"/>
              <w:right w:val="single" w:sz="4" w:space="0" w:color="auto"/>
            </w:tcBorders>
            <w:hideMark/>
          </w:tcPr>
          <w:p w14:paraId="5072B3FF" w14:textId="77777777" w:rsidR="00792797" w:rsidRDefault="00792797" w:rsidP="008E4A19">
            <w:pPr>
              <w:spacing w:before="60" w:after="60"/>
              <w:jc w:val="both"/>
              <w:rPr>
                <w:sz w:val="20"/>
                <w:szCs w:val="20"/>
                <w:lang w:val="en-US"/>
              </w:rPr>
            </w:pPr>
            <w:r>
              <w:rPr>
                <w:sz w:val="20"/>
                <w:szCs w:val="20"/>
                <w:lang w:val="en-US"/>
              </w:rPr>
              <w:t>No objections to the Draft Agenda for the Lives in the Balance part 2 virtual summit.</w:t>
            </w:r>
          </w:p>
        </w:tc>
        <w:tc>
          <w:tcPr>
            <w:tcW w:w="1911" w:type="dxa"/>
            <w:tcBorders>
              <w:top w:val="single" w:sz="4" w:space="0" w:color="auto"/>
              <w:left w:val="single" w:sz="4" w:space="0" w:color="auto"/>
              <w:bottom w:val="single" w:sz="4" w:space="0" w:color="auto"/>
              <w:right w:val="single" w:sz="4" w:space="0" w:color="auto"/>
            </w:tcBorders>
            <w:hideMark/>
          </w:tcPr>
          <w:p w14:paraId="5B700CFC" w14:textId="77777777" w:rsidR="00792797" w:rsidRDefault="00792797" w:rsidP="008E4A19">
            <w:pPr>
              <w:spacing w:before="60" w:after="60"/>
              <w:jc w:val="both"/>
              <w:rPr>
                <w:sz w:val="20"/>
                <w:szCs w:val="20"/>
                <w:lang w:val="en-US"/>
              </w:rPr>
            </w:pPr>
            <w:r>
              <w:rPr>
                <w:sz w:val="20"/>
                <w:szCs w:val="20"/>
                <w:lang w:val="en-US"/>
              </w:rPr>
              <w:t>Secretariat</w:t>
            </w:r>
          </w:p>
        </w:tc>
      </w:tr>
    </w:tbl>
    <w:p w14:paraId="5755F1DA" w14:textId="67D8413D" w:rsidR="008D294C" w:rsidRPr="00EA048A" w:rsidRDefault="008D294C" w:rsidP="00792797">
      <w:pPr>
        <w:spacing w:before="360" w:after="360" w:line="240" w:lineRule="auto"/>
        <w:jc w:val="both"/>
        <w:rPr>
          <w:sz w:val="20"/>
          <w:szCs w:val="20"/>
          <w:lang w:val="en-US"/>
        </w:rPr>
      </w:pPr>
    </w:p>
    <w:sectPr w:rsidR="008D294C" w:rsidRPr="00EA048A" w:rsidSect="00F522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4F8D9" w14:textId="77777777" w:rsidR="00E31C66" w:rsidRDefault="00E31C66" w:rsidP="00B61ED2">
      <w:pPr>
        <w:spacing w:after="0" w:line="240" w:lineRule="auto"/>
      </w:pPr>
      <w:r>
        <w:separator/>
      </w:r>
    </w:p>
  </w:endnote>
  <w:endnote w:type="continuationSeparator" w:id="0">
    <w:p w14:paraId="140D1BEC" w14:textId="77777777" w:rsidR="00E31C66" w:rsidRDefault="00E31C66" w:rsidP="00B61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110F" w14:textId="77777777" w:rsidR="00FF469E" w:rsidRDefault="00FF4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3025306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001F4F1" w14:textId="18CC5375" w:rsidR="008D294C" w:rsidRPr="00F72D9D" w:rsidRDefault="008D294C">
            <w:pPr>
              <w:pStyle w:val="Footer"/>
              <w:jc w:val="right"/>
              <w:rPr>
                <w:sz w:val="16"/>
                <w:szCs w:val="16"/>
              </w:rPr>
            </w:pPr>
            <w:r w:rsidRPr="00F72D9D">
              <w:rPr>
                <w:sz w:val="16"/>
                <w:szCs w:val="16"/>
              </w:rPr>
              <w:t xml:space="preserve">Page </w:t>
            </w:r>
            <w:r w:rsidRPr="00F72D9D">
              <w:rPr>
                <w:bCs/>
                <w:sz w:val="16"/>
                <w:szCs w:val="16"/>
              </w:rPr>
              <w:fldChar w:fldCharType="begin"/>
            </w:r>
            <w:r w:rsidRPr="00F72D9D">
              <w:rPr>
                <w:bCs/>
                <w:sz w:val="16"/>
                <w:szCs w:val="16"/>
              </w:rPr>
              <w:instrText xml:space="preserve"> PAGE </w:instrText>
            </w:r>
            <w:r w:rsidRPr="00F72D9D">
              <w:rPr>
                <w:bCs/>
                <w:sz w:val="16"/>
                <w:szCs w:val="16"/>
              </w:rPr>
              <w:fldChar w:fldCharType="separate"/>
            </w:r>
            <w:r w:rsidR="00904BB9">
              <w:rPr>
                <w:bCs/>
                <w:noProof/>
                <w:sz w:val="16"/>
                <w:szCs w:val="16"/>
              </w:rPr>
              <w:t>1</w:t>
            </w:r>
            <w:r w:rsidRPr="00F72D9D">
              <w:rPr>
                <w:bCs/>
                <w:sz w:val="16"/>
                <w:szCs w:val="16"/>
              </w:rPr>
              <w:fldChar w:fldCharType="end"/>
            </w:r>
            <w:r w:rsidRPr="00F72D9D">
              <w:rPr>
                <w:sz w:val="16"/>
                <w:szCs w:val="16"/>
              </w:rPr>
              <w:t xml:space="preserve"> of </w:t>
            </w:r>
            <w:r w:rsidRPr="00F72D9D">
              <w:rPr>
                <w:bCs/>
                <w:sz w:val="16"/>
                <w:szCs w:val="16"/>
              </w:rPr>
              <w:fldChar w:fldCharType="begin"/>
            </w:r>
            <w:r w:rsidRPr="00F72D9D">
              <w:rPr>
                <w:bCs/>
                <w:sz w:val="16"/>
                <w:szCs w:val="16"/>
              </w:rPr>
              <w:instrText xml:space="preserve"> NUMPAGES  </w:instrText>
            </w:r>
            <w:r w:rsidRPr="00F72D9D">
              <w:rPr>
                <w:bCs/>
                <w:sz w:val="16"/>
                <w:szCs w:val="16"/>
              </w:rPr>
              <w:fldChar w:fldCharType="separate"/>
            </w:r>
            <w:r w:rsidR="00904BB9">
              <w:rPr>
                <w:bCs/>
                <w:noProof/>
                <w:sz w:val="16"/>
                <w:szCs w:val="16"/>
              </w:rPr>
              <w:t>11</w:t>
            </w:r>
            <w:r w:rsidRPr="00F72D9D">
              <w:rPr>
                <w:bCs/>
                <w:sz w:val="16"/>
                <w:szCs w:val="16"/>
              </w:rPr>
              <w:fldChar w:fldCharType="end"/>
            </w:r>
          </w:p>
        </w:sdtContent>
      </w:sdt>
    </w:sdtContent>
  </w:sdt>
  <w:p w14:paraId="161EA309" w14:textId="77777777" w:rsidR="008D294C" w:rsidRDefault="008D2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7685A" w14:textId="77777777" w:rsidR="00FF469E" w:rsidRDefault="00FF4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ED859" w14:textId="77777777" w:rsidR="00E31C66" w:rsidRDefault="00E31C66" w:rsidP="00B61ED2">
      <w:pPr>
        <w:spacing w:after="0" w:line="240" w:lineRule="auto"/>
      </w:pPr>
      <w:r>
        <w:separator/>
      </w:r>
    </w:p>
  </w:footnote>
  <w:footnote w:type="continuationSeparator" w:id="0">
    <w:p w14:paraId="4B2FE06A" w14:textId="77777777" w:rsidR="00E31C66" w:rsidRDefault="00E31C66" w:rsidP="00B61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B68F" w14:textId="77777777" w:rsidR="00FF469E" w:rsidRDefault="00FF4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5948" w14:textId="13D64938" w:rsidR="008D294C" w:rsidRDefault="00EE4D29" w:rsidP="000204AF">
    <w:pPr>
      <w:pStyle w:val="Header"/>
      <w:tabs>
        <w:tab w:val="clear" w:pos="4513"/>
        <w:tab w:val="clear" w:pos="9026"/>
      </w:tabs>
      <w:ind w:left="-180"/>
      <w:jc w:val="right"/>
      <w:rPr>
        <w:rFonts w:ascii="Gill Sans MT" w:hAnsi="Gill Sans MT"/>
        <w:color w:val="7030A0"/>
        <w:sz w:val="16"/>
        <w:szCs w:val="16"/>
      </w:rPr>
    </w:pPr>
    <w:sdt>
      <w:sdtPr>
        <w:rPr>
          <w:rFonts w:ascii="Gill Sans MT" w:hAnsi="Gill Sans MT"/>
          <w:color w:val="7030A0"/>
          <w:sz w:val="16"/>
          <w:szCs w:val="16"/>
        </w:rPr>
        <w:id w:val="-1142803252"/>
        <w:docPartObj>
          <w:docPartGallery w:val="Watermarks"/>
          <w:docPartUnique/>
        </w:docPartObj>
      </w:sdtPr>
      <w:sdtEndPr/>
      <w:sdtContent>
        <w:r>
          <w:rPr>
            <w:rFonts w:ascii="Gill Sans MT" w:hAnsi="Gill Sans MT"/>
            <w:noProof/>
            <w:color w:val="7030A0"/>
            <w:sz w:val="16"/>
            <w:szCs w:val="16"/>
          </w:rPr>
          <w:pict w14:anchorId="01EB3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D294C">
      <w:rPr>
        <w:noProof/>
      </w:rPr>
      <w:drawing>
        <wp:inline distT="0" distB="0" distL="0" distR="0" wp14:anchorId="06B2594D" wp14:editId="03189214">
          <wp:extent cx="6115685" cy="570230"/>
          <wp:effectExtent l="0" t="0" r="0" b="1270"/>
          <wp:docPr id="1" name="Picture 1" descr="B12 - 12 PG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12 - 12 PG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570230"/>
                  </a:xfrm>
                  <a:prstGeom prst="rect">
                    <a:avLst/>
                  </a:prstGeom>
                  <a:noFill/>
                  <a:ln>
                    <a:noFill/>
                  </a:ln>
                </pic:spPr>
              </pic:pic>
            </a:graphicData>
          </a:graphic>
        </wp:inline>
      </w:drawing>
    </w:r>
    <w:r w:rsidR="008D294C" w:rsidRPr="00F52212">
      <w:rPr>
        <w:rFonts w:ascii="Gill Sans MT" w:hAnsi="Gill Sans MT"/>
        <w:color w:val="7030A0"/>
        <w:sz w:val="16"/>
        <w:szCs w:val="16"/>
      </w:rPr>
      <w:t>Secretariat Hosted by the World Health Organization and Board Chaired by The Rt Hon. Helen Clark, former Prime Minister, New Zealand</w:t>
    </w:r>
  </w:p>
  <w:p w14:paraId="0A292641" w14:textId="77777777" w:rsidR="008D294C" w:rsidRDefault="008D294C" w:rsidP="00B61ED2">
    <w:pPr>
      <w:pStyle w:val="Header"/>
      <w:rPr>
        <w:rFonts w:ascii="Gill Sans MT" w:hAnsi="Gill Sans MT"/>
        <w:color w:val="7030A0"/>
        <w:sz w:val="16"/>
        <w:szCs w:val="16"/>
      </w:rPr>
    </w:pPr>
  </w:p>
  <w:p w14:paraId="67AD5245" w14:textId="77777777" w:rsidR="008D294C" w:rsidRDefault="008D294C" w:rsidP="00B61ED2">
    <w:pPr>
      <w:pStyle w:val="Header"/>
      <w:rPr>
        <w:rFonts w:ascii="Gill Sans MT" w:hAnsi="Gill Sans MT"/>
        <w:color w:val="7030A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D81C" w14:textId="77777777" w:rsidR="00FF469E" w:rsidRDefault="00FF4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93B"/>
    <w:multiLevelType w:val="hybridMultilevel"/>
    <w:tmpl w:val="33C45204"/>
    <w:lvl w:ilvl="0" w:tplc="D748A20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271C4"/>
    <w:multiLevelType w:val="hybridMultilevel"/>
    <w:tmpl w:val="75DE5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E35066"/>
    <w:multiLevelType w:val="hybridMultilevel"/>
    <w:tmpl w:val="BA3C38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F723F"/>
    <w:multiLevelType w:val="hybridMultilevel"/>
    <w:tmpl w:val="38E0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F2D7B"/>
    <w:multiLevelType w:val="hybridMultilevel"/>
    <w:tmpl w:val="184A5620"/>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603E9B"/>
    <w:multiLevelType w:val="hybridMultilevel"/>
    <w:tmpl w:val="4C0A8CD2"/>
    <w:lvl w:ilvl="0" w:tplc="200CCD0E">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17E64"/>
    <w:multiLevelType w:val="hybridMultilevel"/>
    <w:tmpl w:val="D51C3C1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BB0A12"/>
    <w:multiLevelType w:val="hybridMultilevel"/>
    <w:tmpl w:val="FEAE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C5C25"/>
    <w:multiLevelType w:val="hybridMultilevel"/>
    <w:tmpl w:val="D6643A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327EAF"/>
    <w:multiLevelType w:val="hybridMultilevel"/>
    <w:tmpl w:val="8CC2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33366"/>
    <w:multiLevelType w:val="hybridMultilevel"/>
    <w:tmpl w:val="1C4A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4598A"/>
    <w:multiLevelType w:val="hybridMultilevel"/>
    <w:tmpl w:val="82DEFD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BA7FBD"/>
    <w:multiLevelType w:val="hybridMultilevel"/>
    <w:tmpl w:val="967A6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4439E8"/>
    <w:multiLevelType w:val="hybridMultilevel"/>
    <w:tmpl w:val="84985EAA"/>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hint="default"/>
      </w:rPr>
    </w:lvl>
    <w:lvl w:ilvl="2" w:tplc="0410000F">
      <w:start w:val="1"/>
      <w:numFmt w:val="decimal"/>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861E31"/>
    <w:multiLevelType w:val="hybridMultilevel"/>
    <w:tmpl w:val="F354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C486F"/>
    <w:multiLevelType w:val="hybridMultilevel"/>
    <w:tmpl w:val="B588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E6472"/>
    <w:multiLevelType w:val="hybridMultilevel"/>
    <w:tmpl w:val="8A8ED30E"/>
    <w:lvl w:ilvl="0" w:tplc="0409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793456"/>
    <w:multiLevelType w:val="hybridMultilevel"/>
    <w:tmpl w:val="1AD4B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81722"/>
    <w:multiLevelType w:val="hybridMultilevel"/>
    <w:tmpl w:val="9C222B5E"/>
    <w:lvl w:ilvl="0" w:tplc="75282340">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1596B"/>
    <w:multiLevelType w:val="hybridMultilevel"/>
    <w:tmpl w:val="063ED496"/>
    <w:lvl w:ilvl="0" w:tplc="683E80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521E8"/>
    <w:multiLevelType w:val="hybridMultilevel"/>
    <w:tmpl w:val="F864A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F04649F"/>
    <w:multiLevelType w:val="hybridMultilevel"/>
    <w:tmpl w:val="5E7C28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239A6"/>
    <w:multiLevelType w:val="hybridMultilevel"/>
    <w:tmpl w:val="5866C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624244"/>
    <w:multiLevelType w:val="hybridMultilevel"/>
    <w:tmpl w:val="F71CB15A"/>
    <w:lvl w:ilvl="0" w:tplc="7F4E4066">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A62E2"/>
    <w:multiLevelType w:val="hybridMultilevel"/>
    <w:tmpl w:val="443AB3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3C52BF0"/>
    <w:multiLevelType w:val="hybridMultilevel"/>
    <w:tmpl w:val="EFB0EA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5C713B"/>
    <w:multiLevelType w:val="hybridMultilevel"/>
    <w:tmpl w:val="71E0F9EE"/>
    <w:lvl w:ilvl="0" w:tplc="D9844F66">
      <w:start w:val="1"/>
      <w:numFmt w:val="bullet"/>
      <w:lvlText w:val="-"/>
      <w:lvlJc w:val="left"/>
      <w:pPr>
        <w:ind w:left="1800" w:hanging="360"/>
      </w:pPr>
      <w:rPr>
        <w:rFonts w:ascii="Calibri" w:eastAsiaTheme="minorEastAsia"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9354A68"/>
    <w:multiLevelType w:val="hybridMultilevel"/>
    <w:tmpl w:val="70F00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94EA5"/>
    <w:multiLevelType w:val="hybridMultilevel"/>
    <w:tmpl w:val="BEA20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7"/>
  </w:num>
  <w:num w:numId="4">
    <w:abstractNumId w:val="28"/>
  </w:num>
  <w:num w:numId="5">
    <w:abstractNumId w:val="6"/>
  </w:num>
  <w:num w:numId="6">
    <w:abstractNumId w:val="0"/>
  </w:num>
  <w:num w:numId="7">
    <w:abstractNumId w:val="18"/>
  </w:num>
  <w:num w:numId="8">
    <w:abstractNumId w:val="5"/>
  </w:num>
  <w:num w:numId="9">
    <w:abstractNumId w:val="27"/>
  </w:num>
  <w:num w:numId="10">
    <w:abstractNumId w:val="1"/>
  </w:num>
  <w:num w:numId="11">
    <w:abstractNumId w:val="16"/>
  </w:num>
  <w:num w:numId="12">
    <w:abstractNumId w:val="11"/>
  </w:num>
  <w:num w:numId="13">
    <w:abstractNumId w:val="4"/>
  </w:num>
  <w:num w:numId="14">
    <w:abstractNumId w:val="13"/>
  </w:num>
  <w:num w:numId="15">
    <w:abstractNumId w:val="23"/>
  </w:num>
  <w:num w:numId="16">
    <w:abstractNumId w:val="20"/>
  </w:num>
  <w:num w:numId="17">
    <w:abstractNumId w:val="25"/>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1"/>
  </w:num>
  <w:num w:numId="23">
    <w:abstractNumId w:val="26"/>
  </w:num>
  <w:num w:numId="24">
    <w:abstractNumId w:val="3"/>
  </w:num>
  <w:num w:numId="25">
    <w:abstractNumId w:val="1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7"/>
  </w:num>
  <w:num w:numId="31">
    <w:abstractNumId w:val="14"/>
  </w:num>
  <w:num w:numId="32">
    <w:abstractNumId w:val="17"/>
  </w:num>
  <w:num w:numId="33">
    <w:abstractNumId w:val="9"/>
  </w:num>
  <w:num w:numId="34">
    <w:abstractNumId w:val="10"/>
  </w:num>
  <w:num w:numId="35">
    <w:abstractNumId w:val="14"/>
  </w:num>
  <w:num w:numId="36">
    <w:abstractNumId w:val="9"/>
  </w:num>
  <w:num w:numId="37">
    <w:abstractNumId w:val="10"/>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1E"/>
    <w:rsid w:val="000014D8"/>
    <w:rsid w:val="000066F1"/>
    <w:rsid w:val="00006BB9"/>
    <w:rsid w:val="0000762D"/>
    <w:rsid w:val="00010475"/>
    <w:rsid w:val="00013C84"/>
    <w:rsid w:val="0001499B"/>
    <w:rsid w:val="000204AF"/>
    <w:rsid w:val="00022710"/>
    <w:rsid w:val="000248B0"/>
    <w:rsid w:val="00025ECC"/>
    <w:rsid w:val="00034D62"/>
    <w:rsid w:val="00035C12"/>
    <w:rsid w:val="0003658E"/>
    <w:rsid w:val="00037D77"/>
    <w:rsid w:val="00041182"/>
    <w:rsid w:val="000421E9"/>
    <w:rsid w:val="0004349A"/>
    <w:rsid w:val="00045AC9"/>
    <w:rsid w:val="000542B9"/>
    <w:rsid w:val="00056016"/>
    <w:rsid w:val="00056F48"/>
    <w:rsid w:val="00062B65"/>
    <w:rsid w:val="00063486"/>
    <w:rsid w:val="0007006B"/>
    <w:rsid w:val="000709FE"/>
    <w:rsid w:val="00071B29"/>
    <w:rsid w:val="00073D6A"/>
    <w:rsid w:val="00074CA3"/>
    <w:rsid w:val="000757CF"/>
    <w:rsid w:val="00081AE2"/>
    <w:rsid w:val="000840C0"/>
    <w:rsid w:val="00084907"/>
    <w:rsid w:val="00085935"/>
    <w:rsid w:val="00086D30"/>
    <w:rsid w:val="000875FA"/>
    <w:rsid w:val="00090D10"/>
    <w:rsid w:val="000917D4"/>
    <w:rsid w:val="0009700A"/>
    <w:rsid w:val="0009739F"/>
    <w:rsid w:val="000A0235"/>
    <w:rsid w:val="000A1893"/>
    <w:rsid w:val="000A6961"/>
    <w:rsid w:val="000A716B"/>
    <w:rsid w:val="000B071F"/>
    <w:rsid w:val="000B0B2B"/>
    <w:rsid w:val="000B486A"/>
    <w:rsid w:val="000B4B8B"/>
    <w:rsid w:val="000B6918"/>
    <w:rsid w:val="000B7062"/>
    <w:rsid w:val="000C0610"/>
    <w:rsid w:val="000C3908"/>
    <w:rsid w:val="000D01B7"/>
    <w:rsid w:val="000D3CFC"/>
    <w:rsid w:val="000E372A"/>
    <w:rsid w:val="000E4F4E"/>
    <w:rsid w:val="000E566C"/>
    <w:rsid w:val="000E5F7D"/>
    <w:rsid w:val="000F0091"/>
    <w:rsid w:val="000F45E5"/>
    <w:rsid w:val="000F4C48"/>
    <w:rsid w:val="000F51A0"/>
    <w:rsid w:val="001025CE"/>
    <w:rsid w:val="001041FC"/>
    <w:rsid w:val="00106847"/>
    <w:rsid w:val="00106992"/>
    <w:rsid w:val="00115C26"/>
    <w:rsid w:val="00117D4A"/>
    <w:rsid w:val="00127AB1"/>
    <w:rsid w:val="00130D30"/>
    <w:rsid w:val="00131FE7"/>
    <w:rsid w:val="00137C62"/>
    <w:rsid w:val="00140BFD"/>
    <w:rsid w:val="00142328"/>
    <w:rsid w:val="00142B18"/>
    <w:rsid w:val="001508A1"/>
    <w:rsid w:val="00156005"/>
    <w:rsid w:val="00160ABD"/>
    <w:rsid w:val="001677CA"/>
    <w:rsid w:val="00170CE7"/>
    <w:rsid w:val="00171E23"/>
    <w:rsid w:val="001748CC"/>
    <w:rsid w:val="00174C07"/>
    <w:rsid w:val="00175BF6"/>
    <w:rsid w:val="00177C6A"/>
    <w:rsid w:val="001826AF"/>
    <w:rsid w:val="00182C00"/>
    <w:rsid w:val="00185299"/>
    <w:rsid w:val="00191D2B"/>
    <w:rsid w:val="001961A5"/>
    <w:rsid w:val="001A28CE"/>
    <w:rsid w:val="001A3F25"/>
    <w:rsid w:val="001A5181"/>
    <w:rsid w:val="001A7E11"/>
    <w:rsid w:val="001B5C45"/>
    <w:rsid w:val="001B5C88"/>
    <w:rsid w:val="001C10CE"/>
    <w:rsid w:val="001C192C"/>
    <w:rsid w:val="001C5EA3"/>
    <w:rsid w:val="001D242F"/>
    <w:rsid w:val="001D5493"/>
    <w:rsid w:val="001E317A"/>
    <w:rsid w:val="001F11F4"/>
    <w:rsid w:val="001F67BB"/>
    <w:rsid w:val="001F77CB"/>
    <w:rsid w:val="00204621"/>
    <w:rsid w:val="00206A20"/>
    <w:rsid w:val="00206E3C"/>
    <w:rsid w:val="00213BA3"/>
    <w:rsid w:val="002143C5"/>
    <w:rsid w:val="00216872"/>
    <w:rsid w:val="00217313"/>
    <w:rsid w:val="00220619"/>
    <w:rsid w:val="0022101A"/>
    <w:rsid w:val="00224070"/>
    <w:rsid w:val="002252F8"/>
    <w:rsid w:val="002306C6"/>
    <w:rsid w:val="00230BC1"/>
    <w:rsid w:val="0023314A"/>
    <w:rsid w:val="002349F0"/>
    <w:rsid w:val="002420CA"/>
    <w:rsid w:val="00244F1D"/>
    <w:rsid w:val="00247174"/>
    <w:rsid w:val="0025520E"/>
    <w:rsid w:val="00262379"/>
    <w:rsid w:val="00265794"/>
    <w:rsid w:val="002670AF"/>
    <w:rsid w:val="00270445"/>
    <w:rsid w:val="002734C6"/>
    <w:rsid w:val="002753D1"/>
    <w:rsid w:val="00275D83"/>
    <w:rsid w:val="00276B7A"/>
    <w:rsid w:val="00282FDB"/>
    <w:rsid w:val="00287550"/>
    <w:rsid w:val="00287CCB"/>
    <w:rsid w:val="00291B17"/>
    <w:rsid w:val="002946E5"/>
    <w:rsid w:val="00294FAD"/>
    <w:rsid w:val="002A0242"/>
    <w:rsid w:val="002A0934"/>
    <w:rsid w:val="002A0C9E"/>
    <w:rsid w:val="002A54AE"/>
    <w:rsid w:val="002A647A"/>
    <w:rsid w:val="002A69A4"/>
    <w:rsid w:val="002B3AC5"/>
    <w:rsid w:val="002B3DF5"/>
    <w:rsid w:val="002B54EA"/>
    <w:rsid w:val="002B5CAD"/>
    <w:rsid w:val="002B67FE"/>
    <w:rsid w:val="002C4DBD"/>
    <w:rsid w:val="002C5167"/>
    <w:rsid w:val="002C5CA9"/>
    <w:rsid w:val="002C5D5B"/>
    <w:rsid w:val="002D2170"/>
    <w:rsid w:val="002D51B1"/>
    <w:rsid w:val="002D6103"/>
    <w:rsid w:val="002D6756"/>
    <w:rsid w:val="002D74CC"/>
    <w:rsid w:val="002E283D"/>
    <w:rsid w:val="002E2D55"/>
    <w:rsid w:val="002E3033"/>
    <w:rsid w:val="002E4B31"/>
    <w:rsid w:val="002E638C"/>
    <w:rsid w:val="002F0305"/>
    <w:rsid w:val="002F173E"/>
    <w:rsid w:val="002F346D"/>
    <w:rsid w:val="002F358A"/>
    <w:rsid w:val="002F3FAC"/>
    <w:rsid w:val="002F4447"/>
    <w:rsid w:val="002F5184"/>
    <w:rsid w:val="002F52BA"/>
    <w:rsid w:val="00304CAA"/>
    <w:rsid w:val="00304D99"/>
    <w:rsid w:val="00310A44"/>
    <w:rsid w:val="0031349A"/>
    <w:rsid w:val="00313C81"/>
    <w:rsid w:val="00316484"/>
    <w:rsid w:val="00316AF9"/>
    <w:rsid w:val="0031718C"/>
    <w:rsid w:val="00321ECB"/>
    <w:rsid w:val="00321F46"/>
    <w:rsid w:val="00326863"/>
    <w:rsid w:val="00326FB0"/>
    <w:rsid w:val="00327946"/>
    <w:rsid w:val="0033073F"/>
    <w:rsid w:val="003342C8"/>
    <w:rsid w:val="003354E3"/>
    <w:rsid w:val="0034213C"/>
    <w:rsid w:val="00346494"/>
    <w:rsid w:val="003544A0"/>
    <w:rsid w:val="003562B7"/>
    <w:rsid w:val="0036446A"/>
    <w:rsid w:val="00372704"/>
    <w:rsid w:val="00373B67"/>
    <w:rsid w:val="0037446E"/>
    <w:rsid w:val="00380C09"/>
    <w:rsid w:val="003833BF"/>
    <w:rsid w:val="00393332"/>
    <w:rsid w:val="003958DE"/>
    <w:rsid w:val="0039609D"/>
    <w:rsid w:val="00396D40"/>
    <w:rsid w:val="00396F56"/>
    <w:rsid w:val="003A025E"/>
    <w:rsid w:val="003A0E00"/>
    <w:rsid w:val="003A1434"/>
    <w:rsid w:val="003A2836"/>
    <w:rsid w:val="003B1A9F"/>
    <w:rsid w:val="003B1D8F"/>
    <w:rsid w:val="003B2197"/>
    <w:rsid w:val="003B43F2"/>
    <w:rsid w:val="003B45C6"/>
    <w:rsid w:val="003C086D"/>
    <w:rsid w:val="003C476F"/>
    <w:rsid w:val="003D0563"/>
    <w:rsid w:val="003D08A5"/>
    <w:rsid w:val="003D13E7"/>
    <w:rsid w:val="003D21B8"/>
    <w:rsid w:val="003D7A39"/>
    <w:rsid w:val="003E0F3B"/>
    <w:rsid w:val="003E1079"/>
    <w:rsid w:val="003E139C"/>
    <w:rsid w:val="003E2250"/>
    <w:rsid w:val="003F17AC"/>
    <w:rsid w:val="003F3D1B"/>
    <w:rsid w:val="003F5795"/>
    <w:rsid w:val="003F5940"/>
    <w:rsid w:val="003F67F9"/>
    <w:rsid w:val="0040066A"/>
    <w:rsid w:val="00400A03"/>
    <w:rsid w:val="0040111E"/>
    <w:rsid w:val="004029C1"/>
    <w:rsid w:val="0040329A"/>
    <w:rsid w:val="00404200"/>
    <w:rsid w:val="0041039E"/>
    <w:rsid w:val="004203FA"/>
    <w:rsid w:val="004236F5"/>
    <w:rsid w:val="0042429F"/>
    <w:rsid w:val="00425836"/>
    <w:rsid w:val="004275B5"/>
    <w:rsid w:val="00427836"/>
    <w:rsid w:val="00431E48"/>
    <w:rsid w:val="00432469"/>
    <w:rsid w:val="004442FD"/>
    <w:rsid w:val="0044455D"/>
    <w:rsid w:val="004514E2"/>
    <w:rsid w:val="00451722"/>
    <w:rsid w:val="00452057"/>
    <w:rsid w:val="00453FF7"/>
    <w:rsid w:val="00454749"/>
    <w:rsid w:val="00457BF8"/>
    <w:rsid w:val="004609BF"/>
    <w:rsid w:val="00460E31"/>
    <w:rsid w:val="00464716"/>
    <w:rsid w:val="00465B36"/>
    <w:rsid w:val="00473032"/>
    <w:rsid w:val="00473907"/>
    <w:rsid w:val="004741AB"/>
    <w:rsid w:val="0048038A"/>
    <w:rsid w:val="004900AB"/>
    <w:rsid w:val="00497E02"/>
    <w:rsid w:val="004A0518"/>
    <w:rsid w:val="004A1F9C"/>
    <w:rsid w:val="004A5D99"/>
    <w:rsid w:val="004B0166"/>
    <w:rsid w:val="004B4635"/>
    <w:rsid w:val="004B6BB7"/>
    <w:rsid w:val="004B7F22"/>
    <w:rsid w:val="004C16C5"/>
    <w:rsid w:val="004C1A3C"/>
    <w:rsid w:val="004C25ED"/>
    <w:rsid w:val="004C480F"/>
    <w:rsid w:val="004C52A1"/>
    <w:rsid w:val="004E0E12"/>
    <w:rsid w:val="004E56EC"/>
    <w:rsid w:val="004F324D"/>
    <w:rsid w:val="004F3B3B"/>
    <w:rsid w:val="004F5F3E"/>
    <w:rsid w:val="00500057"/>
    <w:rsid w:val="005024F1"/>
    <w:rsid w:val="00502B64"/>
    <w:rsid w:val="005033A9"/>
    <w:rsid w:val="00503C17"/>
    <w:rsid w:val="00505C0F"/>
    <w:rsid w:val="00515589"/>
    <w:rsid w:val="00521F70"/>
    <w:rsid w:val="005267D1"/>
    <w:rsid w:val="00526EC7"/>
    <w:rsid w:val="00533263"/>
    <w:rsid w:val="005437A9"/>
    <w:rsid w:val="0054549D"/>
    <w:rsid w:val="00550119"/>
    <w:rsid w:val="00553746"/>
    <w:rsid w:val="00556D95"/>
    <w:rsid w:val="00557F80"/>
    <w:rsid w:val="00561313"/>
    <w:rsid w:val="00566D6A"/>
    <w:rsid w:val="0057174F"/>
    <w:rsid w:val="0057221B"/>
    <w:rsid w:val="00573128"/>
    <w:rsid w:val="00581A0E"/>
    <w:rsid w:val="00581ACC"/>
    <w:rsid w:val="00582B65"/>
    <w:rsid w:val="00585A4B"/>
    <w:rsid w:val="00587656"/>
    <w:rsid w:val="00591CD8"/>
    <w:rsid w:val="005950CF"/>
    <w:rsid w:val="005956E7"/>
    <w:rsid w:val="00595A15"/>
    <w:rsid w:val="00595CBE"/>
    <w:rsid w:val="005A1DD6"/>
    <w:rsid w:val="005A3BAA"/>
    <w:rsid w:val="005A47F7"/>
    <w:rsid w:val="005A74B3"/>
    <w:rsid w:val="005A7BD3"/>
    <w:rsid w:val="005B0F26"/>
    <w:rsid w:val="005B4416"/>
    <w:rsid w:val="005C0A37"/>
    <w:rsid w:val="005C2AD7"/>
    <w:rsid w:val="005D4F81"/>
    <w:rsid w:val="005D57F3"/>
    <w:rsid w:val="005D6C27"/>
    <w:rsid w:val="005D7F9E"/>
    <w:rsid w:val="005E04E6"/>
    <w:rsid w:val="005E0A18"/>
    <w:rsid w:val="005E0C32"/>
    <w:rsid w:val="005E5735"/>
    <w:rsid w:val="005F3B7F"/>
    <w:rsid w:val="005F7F07"/>
    <w:rsid w:val="0060502F"/>
    <w:rsid w:val="006054D5"/>
    <w:rsid w:val="0060713A"/>
    <w:rsid w:val="00607B85"/>
    <w:rsid w:val="006109D3"/>
    <w:rsid w:val="00611012"/>
    <w:rsid w:val="00611C4A"/>
    <w:rsid w:val="00613974"/>
    <w:rsid w:val="00620AB6"/>
    <w:rsid w:val="006220C0"/>
    <w:rsid w:val="00632586"/>
    <w:rsid w:val="00635CCA"/>
    <w:rsid w:val="006468F7"/>
    <w:rsid w:val="00646F46"/>
    <w:rsid w:val="00647037"/>
    <w:rsid w:val="00652541"/>
    <w:rsid w:val="0065268A"/>
    <w:rsid w:val="006539B1"/>
    <w:rsid w:val="00656516"/>
    <w:rsid w:val="00660858"/>
    <w:rsid w:val="006619F9"/>
    <w:rsid w:val="00663B31"/>
    <w:rsid w:val="006648CB"/>
    <w:rsid w:val="00670760"/>
    <w:rsid w:val="00670AFA"/>
    <w:rsid w:val="006756DE"/>
    <w:rsid w:val="0068436F"/>
    <w:rsid w:val="00693D3C"/>
    <w:rsid w:val="006955A5"/>
    <w:rsid w:val="00696849"/>
    <w:rsid w:val="00696C01"/>
    <w:rsid w:val="006A20EB"/>
    <w:rsid w:val="006A4B6D"/>
    <w:rsid w:val="006A775B"/>
    <w:rsid w:val="006B24BE"/>
    <w:rsid w:val="006B3121"/>
    <w:rsid w:val="006B6126"/>
    <w:rsid w:val="006B7CB1"/>
    <w:rsid w:val="006C4464"/>
    <w:rsid w:val="006C4BAC"/>
    <w:rsid w:val="006C5178"/>
    <w:rsid w:val="006D6439"/>
    <w:rsid w:val="006E5314"/>
    <w:rsid w:val="006E7805"/>
    <w:rsid w:val="006E7DF5"/>
    <w:rsid w:val="006F1CFB"/>
    <w:rsid w:val="006F6B56"/>
    <w:rsid w:val="0070239D"/>
    <w:rsid w:val="007037C4"/>
    <w:rsid w:val="007038F0"/>
    <w:rsid w:val="00704546"/>
    <w:rsid w:val="007053A6"/>
    <w:rsid w:val="00705891"/>
    <w:rsid w:val="0071075E"/>
    <w:rsid w:val="00715C1A"/>
    <w:rsid w:val="00716E8E"/>
    <w:rsid w:val="007205D7"/>
    <w:rsid w:val="00733496"/>
    <w:rsid w:val="00734637"/>
    <w:rsid w:val="00734882"/>
    <w:rsid w:val="007366DC"/>
    <w:rsid w:val="007406D3"/>
    <w:rsid w:val="00744876"/>
    <w:rsid w:val="007463B9"/>
    <w:rsid w:val="0074721A"/>
    <w:rsid w:val="00750AB3"/>
    <w:rsid w:val="007649BC"/>
    <w:rsid w:val="0076542D"/>
    <w:rsid w:val="00766838"/>
    <w:rsid w:val="007675D8"/>
    <w:rsid w:val="00770EDF"/>
    <w:rsid w:val="00773B10"/>
    <w:rsid w:val="00773BDD"/>
    <w:rsid w:val="00773EB5"/>
    <w:rsid w:val="00775C30"/>
    <w:rsid w:val="007818BC"/>
    <w:rsid w:val="00792434"/>
    <w:rsid w:val="00792797"/>
    <w:rsid w:val="00794727"/>
    <w:rsid w:val="007954B2"/>
    <w:rsid w:val="007A1304"/>
    <w:rsid w:val="007A2163"/>
    <w:rsid w:val="007A3AB7"/>
    <w:rsid w:val="007A5DC0"/>
    <w:rsid w:val="007B41E1"/>
    <w:rsid w:val="007B44D3"/>
    <w:rsid w:val="007B51CD"/>
    <w:rsid w:val="007B619C"/>
    <w:rsid w:val="007C0F46"/>
    <w:rsid w:val="007C2836"/>
    <w:rsid w:val="007C546E"/>
    <w:rsid w:val="007C6061"/>
    <w:rsid w:val="007E2C53"/>
    <w:rsid w:val="007E422F"/>
    <w:rsid w:val="007F0B28"/>
    <w:rsid w:val="007F2BF0"/>
    <w:rsid w:val="007F5B2F"/>
    <w:rsid w:val="007F76FF"/>
    <w:rsid w:val="00805556"/>
    <w:rsid w:val="0081369F"/>
    <w:rsid w:val="008138A6"/>
    <w:rsid w:val="008205F7"/>
    <w:rsid w:val="0082295A"/>
    <w:rsid w:val="008242C0"/>
    <w:rsid w:val="00825A93"/>
    <w:rsid w:val="00825D0C"/>
    <w:rsid w:val="00856FAC"/>
    <w:rsid w:val="00857B27"/>
    <w:rsid w:val="00865E39"/>
    <w:rsid w:val="00866ACB"/>
    <w:rsid w:val="008671D4"/>
    <w:rsid w:val="0087043B"/>
    <w:rsid w:val="008726CD"/>
    <w:rsid w:val="008742DE"/>
    <w:rsid w:val="008758C7"/>
    <w:rsid w:val="00887172"/>
    <w:rsid w:val="00887B7D"/>
    <w:rsid w:val="00893C8A"/>
    <w:rsid w:val="00895019"/>
    <w:rsid w:val="008954B3"/>
    <w:rsid w:val="008A2A27"/>
    <w:rsid w:val="008B39E2"/>
    <w:rsid w:val="008C2F07"/>
    <w:rsid w:val="008C4145"/>
    <w:rsid w:val="008C485F"/>
    <w:rsid w:val="008D0802"/>
    <w:rsid w:val="008D294C"/>
    <w:rsid w:val="008D5305"/>
    <w:rsid w:val="008E02A6"/>
    <w:rsid w:val="008E21E5"/>
    <w:rsid w:val="008E69F1"/>
    <w:rsid w:val="008F0827"/>
    <w:rsid w:val="008F3C8C"/>
    <w:rsid w:val="008F447D"/>
    <w:rsid w:val="008F5792"/>
    <w:rsid w:val="00901DF9"/>
    <w:rsid w:val="009035CF"/>
    <w:rsid w:val="00904BB9"/>
    <w:rsid w:val="009071D1"/>
    <w:rsid w:val="00912443"/>
    <w:rsid w:val="00915244"/>
    <w:rsid w:val="009155E6"/>
    <w:rsid w:val="00921553"/>
    <w:rsid w:val="00922344"/>
    <w:rsid w:val="009241EE"/>
    <w:rsid w:val="0092440B"/>
    <w:rsid w:val="009260F9"/>
    <w:rsid w:val="009270CC"/>
    <w:rsid w:val="00927775"/>
    <w:rsid w:val="0093005E"/>
    <w:rsid w:val="0093244A"/>
    <w:rsid w:val="00934138"/>
    <w:rsid w:val="009409FE"/>
    <w:rsid w:val="00941554"/>
    <w:rsid w:val="00941C54"/>
    <w:rsid w:val="009449DF"/>
    <w:rsid w:val="00950331"/>
    <w:rsid w:val="009569A9"/>
    <w:rsid w:val="0096099B"/>
    <w:rsid w:val="009612A4"/>
    <w:rsid w:val="00962A19"/>
    <w:rsid w:val="00966D8D"/>
    <w:rsid w:val="00970D76"/>
    <w:rsid w:val="0097656E"/>
    <w:rsid w:val="00982286"/>
    <w:rsid w:val="00982690"/>
    <w:rsid w:val="00987F1E"/>
    <w:rsid w:val="009921CE"/>
    <w:rsid w:val="00993FC3"/>
    <w:rsid w:val="009A337D"/>
    <w:rsid w:val="009A356F"/>
    <w:rsid w:val="009A5A77"/>
    <w:rsid w:val="009A6F2A"/>
    <w:rsid w:val="009B1867"/>
    <w:rsid w:val="009B3781"/>
    <w:rsid w:val="009B42C1"/>
    <w:rsid w:val="009B5D70"/>
    <w:rsid w:val="009C4BC1"/>
    <w:rsid w:val="009C7542"/>
    <w:rsid w:val="009D04EA"/>
    <w:rsid w:val="009D27AC"/>
    <w:rsid w:val="009D3047"/>
    <w:rsid w:val="009D4EC8"/>
    <w:rsid w:val="009D603E"/>
    <w:rsid w:val="009E7758"/>
    <w:rsid w:val="009F1ADF"/>
    <w:rsid w:val="009F419D"/>
    <w:rsid w:val="009F4E33"/>
    <w:rsid w:val="009F526C"/>
    <w:rsid w:val="009F5767"/>
    <w:rsid w:val="009F7636"/>
    <w:rsid w:val="00A03728"/>
    <w:rsid w:val="00A11D24"/>
    <w:rsid w:val="00A26422"/>
    <w:rsid w:val="00A30094"/>
    <w:rsid w:val="00A305FE"/>
    <w:rsid w:val="00A35FFF"/>
    <w:rsid w:val="00A410F4"/>
    <w:rsid w:val="00A42D40"/>
    <w:rsid w:val="00A44C67"/>
    <w:rsid w:val="00A45D47"/>
    <w:rsid w:val="00A46369"/>
    <w:rsid w:val="00A506A7"/>
    <w:rsid w:val="00A50AC8"/>
    <w:rsid w:val="00A519F5"/>
    <w:rsid w:val="00A540FF"/>
    <w:rsid w:val="00A56873"/>
    <w:rsid w:val="00A60483"/>
    <w:rsid w:val="00A6220B"/>
    <w:rsid w:val="00A626C7"/>
    <w:rsid w:val="00A628AB"/>
    <w:rsid w:val="00A6497D"/>
    <w:rsid w:val="00A64AC3"/>
    <w:rsid w:val="00A70338"/>
    <w:rsid w:val="00A72993"/>
    <w:rsid w:val="00A742F5"/>
    <w:rsid w:val="00A75813"/>
    <w:rsid w:val="00A80687"/>
    <w:rsid w:val="00A81748"/>
    <w:rsid w:val="00A87435"/>
    <w:rsid w:val="00A91387"/>
    <w:rsid w:val="00A91FD6"/>
    <w:rsid w:val="00A9409C"/>
    <w:rsid w:val="00A974CE"/>
    <w:rsid w:val="00A97C0B"/>
    <w:rsid w:val="00AA49A8"/>
    <w:rsid w:val="00AB295D"/>
    <w:rsid w:val="00AC6287"/>
    <w:rsid w:val="00AC70CD"/>
    <w:rsid w:val="00AD0015"/>
    <w:rsid w:val="00AD0864"/>
    <w:rsid w:val="00AD1AEA"/>
    <w:rsid w:val="00AD4171"/>
    <w:rsid w:val="00AD55DF"/>
    <w:rsid w:val="00AE03D3"/>
    <w:rsid w:val="00AE1B0E"/>
    <w:rsid w:val="00AE3451"/>
    <w:rsid w:val="00AE4EA5"/>
    <w:rsid w:val="00AE79EC"/>
    <w:rsid w:val="00AF27ED"/>
    <w:rsid w:val="00AF3C3B"/>
    <w:rsid w:val="00AF4309"/>
    <w:rsid w:val="00AF588C"/>
    <w:rsid w:val="00AF5AFA"/>
    <w:rsid w:val="00AF77A9"/>
    <w:rsid w:val="00B01CFF"/>
    <w:rsid w:val="00B06282"/>
    <w:rsid w:val="00B16BA4"/>
    <w:rsid w:val="00B1706C"/>
    <w:rsid w:val="00B17EB1"/>
    <w:rsid w:val="00B17F36"/>
    <w:rsid w:val="00B22536"/>
    <w:rsid w:val="00B2349D"/>
    <w:rsid w:val="00B24063"/>
    <w:rsid w:val="00B344EF"/>
    <w:rsid w:val="00B36DA6"/>
    <w:rsid w:val="00B40134"/>
    <w:rsid w:val="00B4274C"/>
    <w:rsid w:val="00B45621"/>
    <w:rsid w:val="00B505D0"/>
    <w:rsid w:val="00B533A3"/>
    <w:rsid w:val="00B55FC1"/>
    <w:rsid w:val="00B57AE8"/>
    <w:rsid w:val="00B60EAB"/>
    <w:rsid w:val="00B61ED2"/>
    <w:rsid w:val="00B63E6C"/>
    <w:rsid w:val="00B70FC8"/>
    <w:rsid w:val="00B718B2"/>
    <w:rsid w:val="00B734D5"/>
    <w:rsid w:val="00B74505"/>
    <w:rsid w:val="00B75B9D"/>
    <w:rsid w:val="00B809A3"/>
    <w:rsid w:val="00B81465"/>
    <w:rsid w:val="00B82725"/>
    <w:rsid w:val="00B84ACF"/>
    <w:rsid w:val="00B951BE"/>
    <w:rsid w:val="00B951D6"/>
    <w:rsid w:val="00B96470"/>
    <w:rsid w:val="00B970C3"/>
    <w:rsid w:val="00BA5EB7"/>
    <w:rsid w:val="00BA6B65"/>
    <w:rsid w:val="00BB08F9"/>
    <w:rsid w:val="00BB0E0E"/>
    <w:rsid w:val="00BB1A3E"/>
    <w:rsid w:val="00BB1A9D"/>
    <w:rsid w:val="00BB2A16"/>
    <w:rsid w:val="00BB74A2"/>
    <w:rsid w:val="00BC1BBF"/>
    <w:rsid w:val="00BC42CE"/>
    <w:rsid w:val="00BC6391"/>
    <w:rsid w:val="00BC7194"/>
    <w:rsid w:val="00BD3DAA"/>
    <w:rsid w:val="00BD73E3"/>
    <w:rsid w:val="00BE16B9"/>
    <w:rsid w:val="00BE3285"/>
    <w:rsid w:val="00BE3785"/>
    <w:rsid w:val="00BE4882"/>
    <w:rsid w:val="00BF7F1E"/>
    <w:rsid w:val="00C0280C"/>
    <w:rsid w:val="00C02BAE"/>
    <w:rsid w:val="00C039D9"/>
    <w:rsid w:val="00C04713"/>
    <w:rsid w:val="00C06DC7"/>
    <w:rsid w:val="00C114D9"/>
    <w:rsid w:val="00C13743"/>
    <w:rsid w:val="00C14225"/>
    <w:rsid w:val="00C1486A"/>
    <w:rsid w:val="00C16720"/>
    <w:rsid w:val="00C17587"/>
    <w:rsid w:val="00C210F6"/>
    <w:rsid w:val="00C2240A"/>
    <w:rsid w:val="00C22A0D"/>
    <w:rsid w:val="00C24CF5"/>
    <w:rsid w:val="00C414E8"/>
    <w:rsid w:val="00C420B8"/>
    <w:rsid w:val="00C43228"/>
    <w:rsid w:val="00C4434B"/>
    <w:rsid w:val="00C44967"/>
    <w:rsid w:val="00C5121C"/>
    <w:rsid w:val="00C51778"/>
    <w:rsid w:val="00C559ED"/>
    <w:rsid w:val="00C578DD"/>
    <w:rsid w:val="00C601E5"/>
    <w:rsid w:val="00C62604"/>
    <w:rsid w:val="00C63A80"/>
    <w:rsid w:val="00C66730"/>
    <w:rsid w:val="00C679CA"/>
    <w:rsid w:val="00C713E2"/>
    <w:rsid w:val="00C734AE"/>
    <w:rsid w:val="00C734CA"/>
    <w:rsid w:val="00C76077"/>
    <w:rsid w:val="00C8758D"/>
    <w:rsid w:val="00C90192"/>
    <w:rsid w:val="00C95394"/>
    <w:rsid w:val="00CA1E85"/>
    <w:rsid w:val="00CA454D"/>
    <w:rsid w:val="00CB0A97"/>
    <w:rsid w:val="00CB3226"/>
    <w:rsid w:val="00CB370D"/>
    <w:rsid w:val="00CB4472"/>
    <w:rsid w:val="00CB47F4"/>
    <w:rsid w:val="00CC2B94"/>
    <w:rsid w:val="00CC3729"/>
    <w:rsid w:val="00CC445D"/>
    <w:rsid w:val="00CC4D90"/>
    <w:rsid w:val="00CC72F6"/>
    <w:rsid w:val="00CD5C46"/>
    <w:rsid w:val="00CD6AD4"/>
    <w:rsid w:val="00CE1C83"/>
    <w:rsid w:val="00CE2B53"/>
    <w:rsid w:val="00CE3D71"/>
    <w:rsid w:val="00CF2ADC"/>
    <w:rsid w:val="00CF3606"/>
    <w:rsid w:val="00CF3717"/>
    <w:rsid w:val="00CF6197"/>
    <w:rsid w:val="00D00687"/>
    <w:rsid w:val="00D01B91"/>
    <w:rsid w:val="00D11310"/>
    <w:rsid w:val="00D13956"/>
    <w:rsid w:val="00D14EB6"/>
    <w:rsid w:val="00D36412"/>
    <w:rsid w:val="00D36D61"/>
    <w:rsid w:val="00D40458"/>
    <w:rsid w:val="00D405A0"/>
    <w:rsid w:val="00D41F9C"/>
    <w:rsid w:val="00D472C0"/>
    <w:rsid w:val="00D47541"/>
    <w:rsid w:val="00D53C42"/>
    <w:rsid w:val="00D5537F"/>
    <w:rsid w:val="00D57334"/>
    <w:rsid w:val="00D6421E"/>
    <w:rsid w:val="00D65C04"/>
    <w:rsid w:val="00D66BB4"/>
    <w:rsid w:val="00D710ED"/>
    <w:rsid w:val="00D71411"/>
    <w:rsid w:val="00D71BBC"/>
    <w:rsid w:val="00D76B0C"/>
    <w:rsid w:val="00D8014A"/>
    <w:rsid w:val="00D87270"/>
    <w:rsid w:val="00D91CEF"/>
    <w:rsid w:val="00D923BB"/>
    <w:rsid w:val="00D92C71"/>
    <w:rsid w:val="00D94C41"/>
    <w:rsid w:val="00D94E15"/>
    <w:rsid w:val="00D97043"/>
    <w:rsid w:val="00DA2445"/>
    <w:rsid w:val="00DB0EFE"/>
    <w:rsid w:val="00DB4808"/>
    <w:rsid w:val="00DB78B0"/>
    <w:rsid w:val="00DD321B"/>
    <w:rsid w:val="00DD4523"/>
    <w:rsid w:val="00DE79D0"/>
    <w:rsid w:val="00E01532"/>
    <w:rsid w:val="00E12399"/>
    <w:rsid w:val="00E132B9"/>
    <w:rsid w:val="00E1334E"/>
    <w:rsid w:val="00E13FCC"/>
    <w:rsid w:val="00E21BEC"/>
    <w:rsid w:val="00E22F9B"/>
    <w:rsid w:val="00E25AEB"/>
    <w:rsid w:val="00E273FA"/>
    <w:rsid w:val="00E31200"/>
    <w:rsid w:val="00E31C66"/>
    <w:rsid w:val="00E33247"/>
    <w:rsid w:val="00E35533"/>
    <w:rsid w:val="00E37FC1"/>
    <w:rsid w:val="00E4491A"/>
    <w:rsid w:val="00E5097A"/>
    <w:rsid w:val="00E510D4"/>
    <w:rsid w:val="00E5384E"/>
    <w:rsid w:val="00E53CFD"/>
    <w:rsid w:val="00E665FA"/>
    <w:rsid w:val="00E67A72"/>
    <w:rsid w:val="00E73672"/>
    <w:rsid w:val="00E76C71"/>
    <w:rsid w:val="00E81398"/>
    <w:rsid w:val="00E93946"/>
    <w:rsid w:val="00E9447C"/>
    <w:rsid w:val="00E978BA"/>
    <w:rsid w:val="00EA048A"/>
    <w:rsid w:val="00EA1052"/>
    <w:rsid w:val="00EB02B0"/>
    <w:rsid w:val="00EC2795"/>
    <w:rsid w:val="00EC4640"/>
    <w:rsid w:val="00ED1DF5"/>
    <w:rsid w:val="00ED2067"/>
    <w:rsid w:val="00ED25E7"/>
    <w:rsid w:val="00ED4DB2"/>
    <w:rsid w:val="00ED4FF3"/>
    <w:rsid w:val="00EE4D29"/>
    <w:rsid w:val="00EE6BC8"/>
    <w:rsid w:val="00EE6F92"/>
    <w:rsid w:val="00EF24D2"/>
    <w:rsid w:val="00EF4233"/>
    <w:rsid w:val="00EF78EC"/>
    <w:rsid w:val="00F05234"/>
    <w:rsid w:val="00F12C11"/>
    <w:rsid w:val="00F1376D"/>
    <w:rsid w:val="00F14E32"/>
    <w:rsid w:val="00F25C0C"/>
    <w:rsid w:val="00F309FD"/>
    <w:rsid w:val="00F3218C"/>
    <w:rsid w:val="00F37208"/>
    <w:rsid w:val="00F445DB"/>
    <w:rsid w:val="00F52212"/>
    <w:rsid w:val="00F52B18"/>
    <w:rsid w:val="00F5496D"/>
    <w:rsid w:val="00F55D89"/>
    <w:rsid w:val="00F5728A"/>
    <w:rsid w:val="00F57596"/>
    <w:rsid w:val="00F61DE3"/>
    <w:rsid w:val="00F629E5"/>
    <w:rsid w:val="00F6498A"/>
    <w:rsid w:val="00F72D9D"/>
    <w:rsid w:val="00F73B10"/>
    <w:rsid w:val="00F82585"/>
    <w:rsid w:val="00F83E23"/>
    <w:rsid w:val="00F84368"/>
    <w:rsid w:val="00F8458D"/>
    <w:rsid w:val="00F87C7E"/>
    <w:rsid w:val="00F93F6B"/>
    <w:rsid w:val="00F941BA"/>
    <w:rsid w:val="00F94984"/>
    <w:rsid w:val="00F95C27"/>
    <w:rsid w:val="00F95F27"/>
    <w:rsid w:val="00FA3EAF"/>
    <w:rsid w:val="00FA4BEB"/>
    <w:rsid w:val="00FA642A"/>
    <w:rsid w:val="00FA7C4E"/>
    <w:rsid w:val="00FB50A6"/>
    <w:rsid w:val="00FB5624"/>
    <w:rsid w:val="00FB7E36"/>
    <w:rsid w:val="00FC0914"/>
    <w:rsid w:val="00FC0D92"/>
    <w:rsid w:val="00FC52E0"/>
    <w:rsid w:val="00FD253E"/>
    <w:rsid w:val="00FD26AD"/>
    <w:rsid w:val="00FD2B13"/>
    <w:rsid w:val="00FD4AA1"/>
    <w:rsid w:val="00FD5A27"/>
    <w:rsid w:val="00FD62AE"/>
    <w:rsid w:val="00FE075F"/>
    <w:rsid w:val="00FE3F2A"/>
    <w:rsid w:val="00FE509C"/>
    <w:rsid w:val="00FF1C6A"/>
    <w:rsid w:val="00FF30B8"/>
    <w:rsid w:val="00FF42DB"/>
    <w:rsid w:val="00FF469E"/>
    <w:rsid w:val="00FF51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D9EC51"/>
  <w15:chartTrackingRefBased/>
  <w15:docId w15:val="{9260DDC2-D1FE-4309-A41E-0EC54B4E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21E"/>
    <w:pPr>
      <w:ind w:left="720"/>
      <w:contextualSpacing/>
    </w:pPr>
  </w:style>
  <w:style w:type="paragraph" w:styleId="Header">
    <w:name w:val="header"/>
    <w:aliases w:val="CEPA Header"/>
    <w:basedOn w:val="Normal"/>
    <w:link w:val="HeaderChar"/>
    <w:uiPriority w:val="99"/>
    <w:unhideWhenUsed/>
    <w:rsid w:val="00B61ED2"/>
    <w:pPr>
      <w:tabs>
        <w:tab w:val="center" w:pos="4513"/>
        <w:tab w:val="right" w:pos="9026"/>
      </w:tabs>
      <w:spacing w:after="0" w:line="240" w:lineRule="auto"/>
    </w:pPr>
  </w:style>
  <w:style w:type="character" w:customStyle="1" w:styleId="HeaderChar">
    <w:name w:val="Header Char"/>
    <w:aliases w:val="CEPA Header Char"/>
    <w:basedOn w:val="DefaultParagraphFont"/>
    <w:link w:val="Header"/>
    <w:uiPriority w:val="99"/>
    <w:rsid w:val="00B61ED2"/>
  </w:style>
  <w:style w:type="paragraph" w:styleId="Footer">
    <w:name w:val="footer"/>
    <w:basedOn w:val="Normal"/>
    <w:link w:val="FooterChar"/>
    <w:uiPriority w:val="99"/>
    <w:unhideWhenUsed/>
    <w:rsid w:val="00B61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ED2"/>
  </w:style>
  <w:style w:type="character" w:customStyle="1" w:styleId="HeaderChar1">
    <w:name w:val="Header Char1"/>
    <w:aliases w:val="CEPA Header Char1"/>
    <w:uiPriority w:val="99"/>
    <w:rsid w:val="00B61ED2"/>
    <w:rPr>
      <w:rFonts w:ascii="Times New Roman" w:eastAsia="Times New Roman" w:hAnsi="Times New Roman"/>
      <w:lang w:val="en-US" w:eastAsia="en-US"/>
    </w:rPr>
  </w:style>
  <w:style w:type="table" w:styleId="TableGrid">
    <w:name w:val="Table Grid"/>
    <w:basedOn w:val="TableNormal"/>
    <w:uiPriority w:val="39"/>
    <w:rsid w:val="00B6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2212"/>
    <w:pPr>
      <w:spacing w:after="0" w:line="240" w:lineRule="auto"/>
    </w:pPr>
  </w:style>
  <w:style w:type="character" w:styleId="CommentReference">
    <w:name w:val="annotation reference"/>
    <w:basedOn w:val="DefaultParagraphFont"/>
    <w:uiPriority w:val="99"/>
    <w:semiHidden/>
    <w:unhideWhenUsed/>
    <w:rsid w:val="00F52212"/>
    <w:rPr>
      <w:sz w:val="16"/>
      <w:szCs w:val="16"/>
    </w:rPr>
  </w:style>
  <w:style w:type="paragraph" w:styleId="CommentText">
    <w:name w:val="annotation text"/>
    <w:basedOn w:val="Normal"/>
    <w:link w:val="CommentTextChar"/>
    <w:uiPriority w:val="99"/>
    <w:semiHidden/>
    <w:unhideWhenUsed/>
    <w:rsid w:val="00F52212"/>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F52212"/>
    <w:rPr>
      <w:rFonts w:eastAsiaTheme="minorHAnsi"/>
      <w:sz w:val="20"/>
      <w:szCs w:val="20"/>
      <w:lang w:val="en-US" w:eastAsia="en-US"/>
    </w:rPr>
  </w:style>
  <w:style w:type="paragraph" w:styleId="BalloonText">
    <w:name w:val="Balloon Text"/>
    <w:basedOn w:val="Normal"/>
    <w:link w:val="BalloonTextChar"/>
    <w:uiPriority w:val="99"/>
    <w:semiHidden/>
    <w:unhideWhenUsed/>
    <w:rsid w:val="00F52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2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B5CAD"/>
    <w:rPr>
      <w:rFonts w:eastAsiaTheme="minorEastAsia"/>
      <w:b/>
      <w:bCs/>
      <w:lang w:val="en-GB" w:eastAsia="zh-CN"/>
    </w:rPr>
  </w:style>
  <w:style w:type="character" w:customStyle="1" w:styleId="CommentSubjectChar">
    <w:name w:val="Comment Subject Char"/>
    <w:basedOn w:val="CommentTextChar"/>
    <w:link w:val="CommentSubject"/>
    <w:uiPriority w:val="99"/>
    <w:semiHidden/>
    <w:rsid w:val="002B5CAD"/>
    <w:rPr>
      <w:rFonts w:eastAsiaTheme="minorHAnsi"/>
      <w:b/>
      <w:bCs/>
      <w:sz w:val="20"/>
      <w:szCs w:val="20"/>
      <w:lang w:val="en-US" w:eastAsia="en-US"/>
    </w:rPr>
  </w:style>
  <w:style w:type="paragraph" w:styleId="NormalWeb">
    <w:name w:val="Normal (Web)"/>
    <w:basedOn w:val="Normal"/>
    <w:uiPriority w:val="99"/>
    <w:unhideWhenUsed/>
    <w:rsid w:val="00C4496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Hyperlink">
    <w:name w:val="Hyperlink"/>
    <w:basedOn w:val="DefaultParagraphFont"/>
    <w:uiPriority w:val="99"/>
    <w:unhideWhenUsed/>
    <w:rsid w:val="00E93946"/>
    <w:rPr>
      <w:color w:val="0563C1" w:themeColor="hyperlink"/>
      <w:u w:val="single"/>
    </w:rPr>
  </w:style>
  <w:style w:type="character" w:styleId="UnresolvedMention">
    <w:name w:val="Unresolved Mention"/>
    <w:basedOn w:val="DefaultParagraphFont"/>
    <w:uiPriority w:val="99"/>
    <w:semiHidden/>
    <w:unhideWhenUsed/>
    <w:rsid w:val="00E939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82917">
      <w:bodyDiv w:val="1"/>
      <w:marLeft w:val="0"/>
      <w:marRight w:val="0"/>
      <w:marTop w:val="0"/>
      <w:marBottom w:val="0"/>
      <w:divBdr>
        <w:top w:val="none" w:sz="0" w:space="0" w:color="auto"/>
        <w:left w:val="none" w:sz="0" w:space="0" w:color="auto"/>
        <w:bottom w:val="none" w:sz="0" w:space="0" w:color="auto"/>
        <w:right w:val="none" w:sz="0" w:space="0" w:color="auto"/>
      </w:divBdr>
    </w:div>
    <w:div w:id="725376523">
      <w:bodyDiv w:val="1"/>
      <w:marLeft w:val="0"/>
      <w:marRight w:val="0"/>
      <w:marTop w:val="0"/>
      <w:marBottom w:val="0"/>
      <w:divBdr>
        <w:top w:val="none" w:sz="0" w:space="0" w:color="auto"/>
        <w:left w:val="none" w:sz="0" w:space="0" w:color="auto"/>
        <w:bottom w:val="none" w:sz="0" w:space="0" w:color="auto"/>
        <w:right w:val="none" w:sz="0" w:space="0" w:color="auto"/>
      </w:divBdr>
    </w:div>
    <w:div w:id="772633020">
      <w:bodyDiv w:val="1"/>
      <w:marLeft w:val="0"/>
      <w:marRight w:val="0"/>
      <w:marTop w:val="0"/>
      <w:marBottom w:val="0"/>
      <w:divBdr>
        <w:top w:val="none" w:sz="0" w:space="0" w:color="auto"/>
        <w:left w:val="none" w:sz="0" w:space="0" w:color="auto"/>
        <w:bottom w:val="none" w:sz="0" w:space="0" w:color="auto"/>
        <w:right w:val="none" w:sz="0" w:space="0" w:color="auto"/>
      </w:divBdr>
    </w:div>
    <w:div w:id="1339234911">
      <w:bodyDiv w:val="1"/>
      <w:marLeft w:val="0"/>
      <w:marRight w:val="0"/>
      <w:marTop w:val="0"/>
      <w:marBottom w:val="0"/>
      <w:divBdr>
        <w:top w:val="none" w:sz="0" w:space="0" w:color="auto"/>
        <w:left w:val="none" w:sz="0" w:space="0" w:color="auto"/>
        <w:bottom w:val="none" w:sz="0" w:space="0" w:color="auto"/>
        <w:right w:val="none" w:sz="0" w:space="0" w:color="auto"/>
      </w:divBdr>
    </w:div>
    <w:div w:id="1643001005">
      <w:bodyDiv w:val="1"/>
      <w:marLeft w:val="0"/>
      <w:marRight w:val="0"/>
      <w:marTop w:val="0"/>
      <w:marBottom w:val="0"/>
      <w:divBdr>
        <w:top w:val="none" w:sz="0" w:space="0" w:color="auto"/>
        <w:left w:val="none" w:sz="0" w:space="0" w:color="auto"/>
        <w:bottom w:val="none" w:sz="0" w:space="0" w:color="auto"/>
        <w:right w:val="none" w:sz="0" w:space="0" w:color="auto"/>
      </w:divBdr>
    </w:div>
    <w:div w:id="1753972013">
      <w:bodyDiv w:val="1"/>
      <w:marLeft w:val="0"/>
      <w:marRight w:val="0"/>
      <w:marTop w:val="0"/>
      <w:marBottom w:val="0"/>
      <w:divBdr>
        <w:top w:val="none" w:sz="0" w:space="0" w:color="auto"/>
        <w:left w:val="none" w:sz="0" w:space="0" w:color="auto"/>
        <w:bottom w:val="none" w:sz="0" w:space="0" w:color="auto"/>
        <w:right w:val="none" w:sz="0" w:space="0" w:color="auto"/>
      </w:divBdr>
    </w:div>
    <w:div w:id="1999379338">
      <w:bodyDiv w:val="1"/>
      <w:marLeft w:val="0"/>
      <w:marRight w:val="0"/>
      <w:marTop w:val="0"/>
      <w:marBottom w:val="0"/>
      <w:divBdr>
        <w:top w:val="none" w:sz="0" w:space="0" w:color="auto"/>
        <w:left w:val="none" w:sz="0" w:space="0" w:color="auto"/>
        <w:bottom w:val="none" w:sz="0" w:space="0" w:color="auto"/>
        <w:right w:val="none" w:sz="0" w:space="0" w:color="auto"/>
      </w:divBdr>
    </w:div>
    <w:div w:id="2018456097">
      <w:bodyDiv w:val="1"/>
      <w:marLeft w:val="0"/>
      <w:marRight w:val="0"/>
      <w:marTop w:val="0"/>
      <w:marBottom w:val="0"/>
      <w:divBdr>
        <w:top w:val="none" w:sz="0" w:space="0" w:color="auto"/>
        <w:left w:val="none" w:sz="0" w:space="0" w:color="auto"/>
        <w:bottom w:val="none" w:sz="0" w:space="0" w:color="auto"/>
        <w:right w:val="none" w:sz="0" w:space="0" w:color="auto"/>
      </w:divBdr>
      <w:divsChild>
        <w:div w:id="1299334719">
          <w:marLeft w:val="0"/>
          <w:marRight w:val="0"/>
          <w:marTop w:val="0"/>
          <w:marBottom w:val="0"/>
          <w:divBdr>
            <w:top w:val="none" w:sz="0" w:space="0" w:color="auto"/>
            <w:left w:val="none" w:sz="0" w:space="0" w:color="auto"/>
            <w:bottom w:val="none" w:sz="0" w:space="0" w:color="auto"/>
            <w:right w:val="none" w:sz="0" w:space="0" w:color="auto"/>
          </w:divBdr>
          <w:divsChild>
            <w:div w:id="551845365">
              <w:marLeft w:val="0"/>
              <w:marRight w:val="0"/>
              <w:marTop w:val="0"/>
              <w:marBottom w:val="0"/>
              <w:divBdr>
                <w:top w:val="none" w:sz="0" w:space="0" w:color="auto"/>
                <w:left w:val="none" w:sz="0" w:space="0" w:color="auto"/>
                <w:bottom w:val="none" w:sz="0" w:space="0" w:color="auto"/>
                <w:right w:val="none" w:sz="0" w:space="0" w:color="auto"/>
              </w:divBdr>
              <w:divsChild>
                <w:div w:id="794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3867">
      <w:bodyDiv w:val="1"/>
      <w:marLeft w:val="0"/>
      <w:marRight w:val="0"/>
      <w:marTop w:val="0"/>
      <w:marBottom w:val="0"/>
      <w:divBdr>
        <w:top w:val="none" w:sz="0" w:space="0" w:color="auto"/>
        <w:left w:val="none" w:sz="0" w:space="0" w:color="auto"/>
        <w:bottom w:val="none" w:sz="0" w:space="0" w:color="auto"/>
        <w:right w:val="none" w:sz="0" w:space="0" w:color="auto"/>
      </w:divBdr>
    </w:div>
    <w:div w:id="2075539649">
      <w:bodyDiv w:val="1"/>
      <w:marLeft w:val="0"/>
      <w:marRight w:val="0"/>
      <w:marTop w:val="0"/>
      <w:marBottom w:val="0"/>
      <w:divBdr>
        <w:top w:val="none" w:sz="0" w:space="0" w:color="auto"/>
        <w:left w:val="none" w:sz="0" w:space="0" w:color="auto"/>
        <w:bottom w:val="none" w:sz="0" w:space="0" w:color="auto"/>
        <w:right w:val="none" w:sz="0" w:space="0" w:color="auto"/>
      </w:divBdr>
    </w:div>
    <w:div w:id="21237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BECAAC3815B40BB8AA8393FC9BCAB" ma:contentTypeVersion="11" ma:contentTypeDescription="Create a new document." ma:contentTypeScope="" ma:versionID="2ae32a1b30bff884dd5647a8b39a3e65">
  <xsd:schema xmlns:xsd="http://www.w3.org/2001/XMLSchema" xmlns:xs="http://www.w3.org/2001/XMLSchema" xmlns:p="http://schemas.microsoft.com/office/2006/metadata/properties" xmlns:ns2="e1c863a2-e16f-4e9c-a400-0834992bd7b2" xmlns:ns3="38594321-dec0-4003-a966-ef40cbd098eb" targetNamespace="http://schemas.microsoft.com/office/2006/metadata/properties" ma:root="true" ma:fieldsID="dd19d0515b99c1aecb3c9d8f58acef11" ns2:_="" ns3:_="">
    <xsd:import namespace="e1c863a2-e16f-4e9c-a400-0834992bd7b2"/>
    <xsd:import namespace="38594321-dec0-4003-a966-ef40cbd09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63a2-e16f-4e9c-a400-0834992bd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594321-dec0-4003-a966-ef40cbd098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31236-B828-4714-B239-7E73E8E8BC42}">
  <ds:schemaRefs>
    <ds:schemaRef ds:uri="http://schemas.microsoft.com/sharepoint/v3/contenttype/forms"/>
  </ds:schemaRefs>
</ds:datastoreItem>
</file>

<file path=customXml/itemProps2.xml><?xml version="1.0" encoding="utf-8"?>
<ds:datastoreItem xmlns:ds="http://schemas.openxmlformats.org/officeDocument/2006/customXml" ds:itemID="{60B5E0B8-5C8B-4C62-AA2B-38C95E1E0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863a2-e16f-4e9c-a400-0834992bd7b2"/>
    <ds:schemaRef ds:uri="38594321-dec0-4003-a966-ef40cbd0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2A5C2-2DE9-4E61-AB04-7E4452685902}">
  <ds:schemaRefs>
    <ds:schemaRef ds:uri="http://purl.org/dc/dcmitype/"/>
    <ds:schemaRef ds:uri="e1c863a2-e16f-4e9c-a400-0834992bd7b2"/>
    <ds:schemaRef ds:uri="http://schemas.microsoft.com/office/2006/documentManagement/types"/>
    <ds:schemaRef ds:uri="http://purl.org/dc/elements/1.1/"/>
    <ds:schemaRef ds:uri="http://schemas.microsoft.com/office/2006/metadata/properties"/>
    <ds:schemaRef ds:uri="http://purl.org/dc/terms/"/>
    <ds:schemaRef ds:uri="38594321-dec0-4003-a966-ef40cbd098eb"/>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10</Pages>
  <Words>3094</Words>
  <Characters>17637</Characters>
  <Application>Microsoft Office Word</Application>
  <DocSecurity>0</DocSecurity>
  <Lines>146</Lines>
  <Paragraphs>41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NOVCIC, Nebojsa</dc:creator>
  <cp:keywords/>
  <dc:description/>
  <cp:lastModifiedBy>NOVCIC, Nebojsa</cp:lastModifiedBy>
  <cp:revision>259</cp:revision>
  <dcterms:created xsi:type="dcterms:W3CDTF">2020-06-23T23:11:00Z</dcterms:created>
  <dcterms:modified xsi:type="dcterms:W3CDTF">2021-02-23T09:28:00Z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0x010100500BECAAC3815B40BB8AA8393FC9BCAB</vt:lpwstr>
  </property>
</Properties>
</file>